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C7B9C" w14:textId="307BB486" w:rsidR="00D02411" w:rsidRDefault="00D02411" w:rsidP="00CC068C">
      <w:pPr>
        <w:pStyle w:val="CRTTitle"/>
      </w:pPr>
      <w:r>
        <w:rPr>
          <w:noProof/>
          <w14:ligatures w14:val="standardContextual"/>
        </w:rPr>
        <w:drawing>
          <wp:anchor distT="0" distB="0" distL="114300" distR="114300" simplePos="0" relativeHeight="251658256" behindDoc="1" locked="0" layoutInCell="1" allowOverlap="1" wp14:anchorId="65337BC0" wp14:editId="7A5EB686">
            <wp:simplePos x="0" y="0"/>
            <wp:positionH relativeFrom="page">
              <wp:posOffset>0</wp:posOffset>
            </wp:positionH>
            <wp:positionV relativeFrom="paragraph">
              <wp:posOffset>-678180</wp:posOffset>
            </wp:positionV>
            <wp:extent cx="7556076" cy="10687838"/>
            <wp:effectExtent l="0" t="0" r="6985" b="0"/>
            <wp:wrapNone/>
            <wp:docPr id="1725519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85117" name="Picture 8731851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076" cy="10687838"/>
                    </a:xfrm>
                    <a:prstGeom prst="rect">
                      <a:avLst/>
                    </a:prstGeom>
                  </pic:spPr>
                </pic:pic>
              </a:graphicData>
            </a:graphic>
            <wp14:sizeRelH relativeFrom="page">
              <wp14:pctWidth>0</wp14:pctWidth>
            </wp14:sizeRelH>
            <wp14:sizeRelV relativeFrom="page">
              <wp14:pctHeight>0</wp14:pctHeight>
            </wp14:sizeRelV>
          </wp:anchor>
        </w:drawing>
      </w:r>
    </w:p>
    <w:p w14:paraId="21EEE77D" w14:textId="77777777" w:rsidR="00D02411" w:rsidRDefault="00D02411" w:rsidP="00CC068C">
      <w:pPr>
        <w:pStyle w:val="CRTTitle"/>
      </w:pPr>
    </w:p>
    <w:p w14:paraId="5873CC46" w14:textId="69D57E7B" w:rsidR="00336D17" w:rsidRDefault="006610E5" w:rsidP="00491C4D">
      <w:pPr>
        <w:pStyle w:val="CRTBodyText"/>
      </w:pPr>
      <w:r w:rsidRPr="004E5A3D">
        <w:rPr>
          <w:rFonts w:ascii="Aptos" w:hAnsi="Aptos"/>
          <w:noProof/>
          <w:szCs w:val="20"/>
          <w:lang w:eastAsia="en-GB"/>
        </w:rPr>
        <mc:AlternateContent>
          <mc:Choice Requires="wps">
            <w:drawing>
              <wp:anchor distT="45720" distB="45720" distL="114300" distR="114300" simplePos="0" relativeHeight="251658240" behindDoc="0" locked="0" layoutInCell="1" allowOverlap="1" wp14:anchorId="763772BF" wp14:editId="753E63FD">
                <wp:simplePos x="0" y="0"/>
                <wp:positionH relativeFrom="margin">
                  <wp:posOffset>-292376</wp:posOffset>
                </wp:positionH>
                <wp:positionV relativeFrom="paragraph">
                  <wp:posOffset>664541</wp:posOffset>
                </wp:positionV>
                <wp:extent cx="6432550" cy="1404620"/>
                <wp:effectExtent l="0" t="0" r="6350" b="5715"/>
                <wp:wrapSquare wrapText="bothSides"/>
                <wp:docPr id="1361210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404620"/>
                        </a:xfrm>
                        <a:prstGeom prst="rect">
                          <a:avLst/>
                        </a:prstGeom>
                        <a:solidFill>
                          <a:srgbClr val="FFFFFF"/>
                        </a:solidFill>
                        <a:ln w="9525">
                          <a:noFill/>
                          <a:miter lim="800000"/>
                          <a:headEnd/>
                          <a:tailEnd/>
                        </a:ln>
                      </wps:spPr>
                      <wps:txbx>
                        <w:txbxContent>
                          <w:p w14:paraId="733FCC7D" w14:textId="5EBED584" w:rsidR="004E5A3D" w:rsidRDefault="001430AB" w:rsidP="001430AB">
                            <w:pPr>
                              <w:jc w:val="left"/>
                              <w:rPr>
                                <w:rFonts w:ascii="Modern Era Bold" w:hAnsi="Modern Era Bold"/>
                                <w:color w:val="215E99"/>
                                <w:sz w:val="60"/>
                                <w:szCs w:val="60"/>
                              </w:rPr>
                            </w:pPr>
                            <w:r>
                              <w:rPr>
                                <w:rFonts w:ascii="Modern Era Bold" w:hAnsi="Modern Era Bold"/>
                                <w:color w:val="215E99"/>
                                <w:sz w:val="60"/>
                                <w:szCs w:val="60"/>
                              </w:rPr>
                              <w:t>Natural Capital Baseline</w:t>
                            </w:r>
                            <w:r w:rsidR="006610E5">
                              <w:rPr>
                                <w:rFonts w:ascii="Modern Era Bold" w:hAnsi="Modern Era Bold"/>
                                <w:color w:val="215E99"/>
                                <w:sz w:val="60"/>
                                <w:szCs w:val="60"/>
                              </w:rPr>
                              <w:t xml:space="preserve"> </w:t>
                            </w:r>
                          </w:p>
                          <w:p w14:paraId="28E83116" w14:textId="6791C852" w:rsidR="0014179C" w:rsidRPr="004E5A3D" w:rsidRDefault="0014179C" w:rsidP="001430AB">
                            <w:pPr>
                              <w:jc w:val="left"/>
                              <w:rPr>
                                <w:rFonts w:ascii="Modern Era Bold" w:hAnsi="Modern Era Bold"/>
                                <w:color w:val="215E99"/>
                                <w:sz w:val="60"/>
                                <w:szCs w:val="60"/>
                              </w:rPr>
                            </w:pPr>
                            <w:r>
                              <w:rPr>
                                <w:rFonts w:ascii="Modern Era Bold" w:hAnsi="Modern Era Bold"/>
                                <w:color w:val="215E99"/>
                                <w:sz w:val="60"/>
                                <w:szCs w:val="60"/>
                              </w:rPr>
                              <w:t>Technical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772BF" id="_x0000_t202" coordsize="21600,21600" o:spt="202" path="m,l,21600r21600,l21600,xe">
                <v:stroke joinstyle="miter"/>
                <v:path gradientshapeok="t" o:connecttype="rect"/>
              </v:shapetype>
              <v:shape id="Text Box 2" o:spid="_x0000_s1026" type="#_x0000_t202" style="position:absolute;margin-left:-23pt;margin-top:52.35pt;width:506.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Aa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" stroked="f">
                <v:textbox style="mso-fit-shape-to-text:t">
                  <w:txbxContent>
                    <w:p w14:paraId="733FCC7D" w14:textId="5EBED584" w:rsidR="004E5A3D" w:rsidRDefault="001430AB" w:rsidP="001430AB">
                      <w:pPr>
                        <w:jc w:val="left"/>
                        <w:rPr>
                          <w:rFonts w:ascii="Modern Era Bold" w:hAnsi="Modern Era Bold"/>
                          <w:color w:val="215E99"/>
                          <w:sz w:val="60"/>
                          <w:szCs w:val="60"/>
                        </w:rPr>
                      </w:pPr>
                      <w:r>
                        <w:rPr>
                          <w:rFonts w:ascii="Modern Era Bold" w:hAnsi="Modern Era Bold"/>
                          <w:color w:val="215E99"/>
                          <w:sz w:val="60"/>
                          <w:szCs w:val="60"/>
                        </w:rPr>
                        <w:t>Natural Capital Baseline</w:t>
                      </w:r>
                      <w:r w:rsidR="006610E5">
                        <w:rPr>
                          <w:rFonts w:ascii="Modern Era Bold" w:hAnsi="Modern Era Bold"/>
                          <w:color w:val="215E99"/>
                          <w:sz w:val="60"/>
                          <w:szCs w:val="60"/>
                        </w:rPr>
                        <w:t xml:space="preserve"> </w:t>
                      </w:r>
                    </w:p>
                    <w:p w14:paraId="28E83116" w14:textId="6791C852" w:rsidR="0014179C" w:rsidRPr="004E5A3D" w:rsidRDefault="0014179C" w:rsidP="001430AB">
                      <w:pPr>
                        <w:jc w:val="left"/>
                        <w:rPr>
                          <w:rFonts w:ascii="Modern Era Bold" w:hAnsi="Modern Era Bold"/>
                          <w:color w:val="215E99"/>
                          <w:sz w:val="60"/>
                          <w:szCs w:val="60"/>
                        </w:rPr>
                      </w:pPr>
                      <w:r>
                        <w:rPr>
                          <w:rFonts w:ascii="Modern Era Bold" w:hAnsi="Modern Era Bold"/>
                          <w:color w:val="215E99"/>
                          <w:sz w:val="60"/>
                          <w:szCs w:val="60"/>
                        </w:rPr>
                        <w:t>Technical Report</w:t>
                      </w:r>
                    </w:p>
                  </w:txbxContent>
                </v:textbox>
                <w10:wrap type="square" anchorx="margin"/>
              </v:shape>
            </w:pict>
          </mc:Fallback>
        </mc:AlternateContent>
      </w:r>
      <w:r>
        <w:rPr>
          <w:rFonts w:ascii="Aptos" w:hAnsi="Aptos"/>
          <w:noProof/>
          <w:szCs w:val="20"/>
          <w:lang w:eastAsia="en-GB"/>
        </w:rPr>
        <mc:AlternateContent>
          <mc:Choice Requires="wps">
            <w:drawing>
              <wp:anchor distT="0" distB="0" distL="114300" distR="114300" simplePos="0" relativeHeight="251661328" behindDoc="0" locked="0" layoutInCell="1" allowOverlap="1" wp14:anchorId="2437A61A" wp14:editId="5F3AE455">
                <wp:simplePos x="0" y="0"/>
                <wp:positionH relativeFrom="column">
                  <wp:posOffset>4870450</wp:posOffset>
                </wp:positionH>
                <wp:positionV relativeFrom="paragraph">
                  <wp:posOffset>3298190</wp:posOffset>
                </wp:positionV>
                <wp:extent cx="1574800" cy="641350"/>
                <wp:effectExtent l="0" t="0" r="0" b="6350"/>
                <wp:wrapNone/>
                <wp:docPr id="1751061936" name="Text Box 17"/>
                <wp:cNvGraphicFramePr/>
                <a:graphic xmlns:a="http://schemas.openxmlformats.org/drawingml/2006/main">
                  <a:graphicData uri="http://schemas.microsoft.com/office/word/2010/wordprocessingShape">
                    <wps:wsp>
                      <wps:cNvSpPr txBox="1"/>
                      <wps:spPr>
                        <a:xfrm>
                          <a:off x="0" y="0"/>
                          <a:ext cx="1574800" cy="641350"/>
                        </a:xfrm>
                        <a:prstGeom prst="rect">
                          <a:avLst/>
                        </a:prstGeom>
                        <a:noFill/>
                        <a:ln w="6350">
                          <a:noFill/>
                        </a:ln>
                      </wps:spPr>
                      <wps:txbx>
                        <w:txbxContent>
                          <w:p w14:paraId="3EC3D954" w14:textId="40E901A4" w:rsidR="006610E5" w:rsidRPr="006610E5" w:rsidRDefault="006610E5">
                            <w:pPr>
                              <w:rPr>
                                <w:rFonts w:asciiTheme="majorHAnsi" w:hAnsiTheme="majorHAnsi"/>
                                <w:b/>
                                <w:bCs/>
                                <w:color w:val="165BAA" w:themeColor="accent1"/>
                                <w:sz w:val="44"/>
                                <w:szCs w:val="44"/>
                              </w:rPr>
                            </w:pPr>
                            <w:r w:rsidRPr="006610E5">
                              <w:rPr>
                                <w:rFonts w:asciiTheme="majorHAnsi" w:hAnsiTheme="majorHAnsi"/>
                                <w:b/>
                                <w:bCs/>
                                <w:color w:val="165BAA" w:themeColor="accent1"/>
                                <w:sz w:val="44"/>
                                <w:szCs w:val="44"/>
                              </w:rPr>
                              <w:t>June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7A61A" id="Text Box 17" o:spid="_x0000_s1027" type="#_x0000_t202" style="position:absolute;margin-left:383.5pt;margin-top:259.7pt;width:124pt;height:50.5pt;z-index:25166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" filled="f" stroked="f" strokeweight=".5pt">
                <v:textbox>
                  <w:txbxContent>
                    <w:p w14:paraId="3EC3D954" w14:textId="40E901A4" w:rsidR="006610E5" w:rsidRPr="006610E5" w:rsidRDefault="006610E5">
                      <w:pPr>
                        <w:rPr>
                          <w:rFonts w:asciiTheme="majorHAnsi" w:hAnsiTheme="majorHAnsi"/>
                          <w:b/>
                          <w:bCs/>
                          <w:color w:val="165BAA" w:themeColor="accent1"/>
                          <w:sz w:val="44"/>
                          <w:szCs w:val="44"/>
                        </w:rPr>
                      </w:pPr>
                      <w:r w:rsidRPr="006610E5">
                        <w:rPr>
                          <w:rFonts w:asciiTheme="majorHAnsi" w:hAnsiTheme="majorHAnsi"/>
                          <w:b/>
                          <w:bCs/>
                          <w:color w:val="165BAA" w:themeColor="accent1"/>
                          <w:sz w:val="44"/>
                          <w:szCs w:val="44"/>
                        </w:rPr>
                        <w:t>June 2026</w:t>
                      </w:r>
                    </w:p>
                  </w:txbxContent>
                </v:textbox>
              </v:shape>
            </w:pict>
          </mc:Fallback>
        </mc:AlternateContent>
      </w:r>
      <w:r w:rsidR="00336D17">
        <w:br w:type="page"/>
      </w:r>
    </w:p>
    <w:p w14:paraId="6D706C4C" w14:textId="77777777" w:rsidR="00D878E0" w:rsidRDefault="00D878E0" w:rsidP="00273D9A">
      <w:pPr>
        <w:pStyle w:val="Heading1"/>
      </w:pPr>
      <w:r>
        <w:lastRenderedPageBreak/>
        <w:t>Contents</w:t>
      </w:r>
    </w:p>
    <w:p w14:paraId="0CF79BC5" w14:textId="3D513DAD" w:rsidR="00D878E0" w:rsidRPr="003B2C4D" w:rsidRDefault="00D878E0" w:rsidP="003B2C4D">
      <w:pPr>
        <w:pStyle w:val="TOC1"/>
        <w:spacing w:after="240" w:line="240" w:lineRule="auto"/>
        <w:rPr>
          <w:rFonts w:asciiTheme="majorHAnsi" w:hAnsiTheme="majorHAnsi"/>
          <w:b/>
          <w:noProof/>
          <w:szCs w:val="20"/>
          <w:lang w:eastAsia="en-GB"/>
        </w:rPr>
      </w:pPr>
      <w:r w:rsidRPr="003B2C4D">
        <w:rPr>
          <w:rFonts w:asciiTheme="majorHAnsi" w:hAnsiTheme="majorHAnsi"/>
          <w:b/>
          <w:szCs w:val="20"/>
        </w:rPr>
        <w:fldChar w:fldCharType="begin"/>
      </w:r>
      <w:r w:rsidRPr="003B2C4D">
        <w:rPr>
          <w:rFonts w:asciiTheme="majorHAnsi" w:hAnsiTheme="majorHAnsi"/>
          <w:szCs w:val="20"/>
        </w:rPr>
        <w:instrText xml:space="preserve"> TOC \z \t "BWW_HeadingOne,1,BWW_HeadingTwo,2,BWW_HeadingThree,3" </w:instrText>
      </w:r>
      <w:r w:rsidRPr="003B2C4D">
        <w:rPr>
          <w:rFonts w:asciiTheme="majorHAnsi" w:hAnsiTheme="majorHAnsi"/>
          <w:b/>
          <w:szCs w:val="20"/>
        </w:rPr>
        <w:fldChar w:fldCharType="separate"/>
      </w:r>
      <w:r w:rsidR="00083144" w:rsidRPr="003B2C4D">
        <w:rPr>
          <w:rFonts w:asciiTheme="majorHAnsi" w:hAnsiTheme="majorHAnsi"/>
          <w:noProof/>
          <w:szCs w:val="20"/>
        </w:rPr>
        <w:t>Introduction</w:t>
      </w:r>
      <w:r w:rsidRPr="003B2C4D">
        <w:rPr>
          <w:rFonts w:asciiTheme="majorHAnsi" w:hAnsiTheme="majorHAnsi"/>
          <w:noProof/>
          <w:webHidden/>
          <w:szCs w:val="20"/>
        </w:rPr>
        <w:tab/>
      </w:r>
      <w:r w:rsidRPr="003B2C4D">
        <w:rPr>
          <w:rFonts w:asciiTheme="majorHAnsi" w:hAnsiTheme="majorHAnsi"/>
          <w:noProof/>
          <w:webHidden/>
          <w:szCs w:val="20"/>
        </w:rPr>
        <w:fldChar w:fldCharType="begin"/>
      </w:r>
      <w:r w:rsidRPr="003B2C4D">
        <w:rPr>
          <w:rFonts w:asciiTheme="majorHAnsi" w:hAnsiTheme="majorHAnsi"/>
          <w:noProof/>
          <w:webHidden/>
          <w:szCs w:val="20"/>
        </w:rPr>
        <w:instrText xml:space="preserve"> PAGEREF _Toc121289118 \h </w:instrText>
      </w:r>
      <w:r w:rsidRPr="003B2C4D">
        <w:rPr>
          <w:rFonts w:asciiTheme="majorHAnsi" w:hAnsiTheme="majorHAnsi"/>
          <w:noProof/>
          <w:webHidden/>
          <w:szCs w:val="20"/>
        </w:rPr>
      </w:r>
      <w:r w:rsidRPr="003B2C4D">
        <w:rPr>
          <w:rFonts w:asciiTheme="majorHAnsi" w:hAnsiTheme="majorHAnsi"/>
          <w:noProof/>
          <w:webHidden/>
          <w:szCs w:val="20"/>
        </w:rPr>
        <w:fldChar w:fldCharType="separate"/>
      </w:r>
      <w:r w:rsidRPr="003B2C4D">
        <w:rPr>
          <w:rFonts w:asciiTheme="majorHAnsi" w:hAnsiTheme="majorHAnsi"/>
          <w:noProof/>
          <w:webHidden/>
          <w:szCs w:val="20"/>
        </w:rPr>
        <w:t>3</w:t>
      </w:r>
      <w:r w:rsidRPr="003B2C4D">
        <w:rPr>
          <w:rFonts w:asciiTheme="majorHAnsi" w:hAnsiTheme="majorHAnsi"/>
          <w:noProof/>
          <w:webHidden/>
          <w:szCs w:val="20"/>
        </w:rPr>
        <w:fldChar w:fldCharType="end"/>
      </w:r>
    </w:p>
    <w:p w14:paraId="407B599B" w14:textId="0B589306" w:rsidR="00D878E0" w:rsidRPr="003B2C4D" w:rsidRDefault="00083144" w:rsidP="003B2C4D">
      <w:pPr>
        <w:pStyle w:val="TOC1"/>
        <w:spacing w:after="240" w:line="240" w:lineRule="auto"/>
        <w:rPr>
          <w:rFonts w:asciiTheme="majorHAnsi" w:hAnsiTheme="majorHAnsi"/>
          <w:b/>
          <w:noProof/>
          <w:szCs w:val="20"/>
          <w:lang w:eastAsia="en-GB"/>
        </w:rPr>
      </w:pPr>
      <w:r w:rsidRPr="003B2C4D">
        <w:rPr>
          <w:rFonts w:asciiTheme="majorHAnsi" w:hAnsiTheme="majorHAnsi"/>
          <w:noProof/>
          <w:szCs w:val="20"/>
        </w:rPr>
        <w:t>Methodology</w:t>
      </w:r>
      <w:r w:rsidR="00D878E0" w:rsidRPr="003B2C4D">
        <w:rPr>
          <w:rFonts w:asciiTheme="majorHAnsi" w:hAnsiTheme="majorHAnsi"/>
          <w:noProof/>
          <w:webHidden/>
          <w:szCs w:val="20"/>
        </w:rPr>
        <w:tab/>
      </w:r>
      <w:r w:rsidR="008839D1">
        <w:rPr>
          <w:rFonts w:asciiTheme="majorHAnsi" w:hAnsiTheme="majorHAnsi"/>
          <w:noProof/>
          <w:webHidden/>
          <w:szCs w:val="20"/>
        </w:rPr>
        <w:t>4</w:t>
      </w:r>
    </w:p>
    <w:p w14:paraId="79A99F20" w14:textId="52AE81B3" w:rsidR="00B915BF" w:rsidRPr="003B2C4D" w:rsidRDefault="00D878E0" w:rsidP="003B2C4D">
      <w:pPr>
        <w:pStyle w:val="TOC1"/>
        <w:spacing w:after="240" w:line="240" w:lineRule="auto"/>
        <w:rPr>
          <w:rFonts w:asciiTheme="majorHAnsi" w:hAnsiTheme="majorHAnsi"/>
          <w:szCs w:val="20"/>
        </w:rPr>
      </w:pPr>
      <w:r w:rsidRPr="003B2C4D">
        <w:rPr>
          <w:rFonts w:asciiTheme="majorHAnsi" w:hAnsiTheme="majorHAnsi"/>
          <w:szCs w:val="20"/>
        </w:rPr>
        <w:fldChar w:fldCharType="end"/>
      </w:r>
      <w:r w:rsidR="008839D1" w:rsidRPr="003B2C4D">
        <w:rPr>
          <w:rFonts w:asciiTheme="majorHAnsi" w:hAnsiTheme="majorHAnsi"/>
          <w:szCs w:val="20"/>
        </w:rPr>
        <w:t xml:space="preserve">Key </w:t>
      </w:r>
      <w:r w:rsidR="00433DE8">
        <w:rPr>
          <w:rFonts w:asciiTheme="majorHAnsi" w:hAnsiTheme="majorHAnsi"/>
        </w:rPr>
        <w:t>National Findings</w:t>
      </w:r>
      <w:r w:rsidR="007C56CA" w:rsidRPr="00B915BF">
        <w:rPr>
          <w:rFonts w:asciiTheme="majorHAnsi" w:hAnsiTheme="majorHAnsi"/>
        </w:rPr>
        <w:t xml:space="preserve">                                                                                                          </w:t>
      </w:r>
      <w:r w:rsidR="00B915BF">
        <w:rPr>
          <w:rFonts w:asciiTheme="majorHAnsi" w:hAnsiTheme="majorHAnsi"/>
        </w:rPr>
        <w:t xml:space="preserve">         </w:t>
      </w:r>
      <w:r w:rsidR="00433DE8">
        <w:rPr>
          <w:rFonts w:asciiTheme="majorHAnsi" w:hAnsiTheme="majorHAnsi"/>
        </w:rPr>
        <w:t xml:space="preserve">              </w:t>
      </w:r>
      <w:r w:rsidR="004A0893">
        <w:rPr>
          <w:rFonts w:asciiTheme="majorHAnsi" w:hAnsiTheme="majorHAnsi"/>
        </w:rPr>
        <w:t>5</w:t>
      </w:r>
    </w:p>
    <w:p w14:paraId="6ADE91C9" w14:textId="5CBE8B8B" w:rsidR="00B915BF" w:rsidRDefault="008839D1" w:rsidP="003B2C4D">
      <w:pPr>
        <w:pStyle w:val="TOC1"/>
        <w:spacing w:after="240" w:line="240" w:lineRule="auto"/>
        <w:rPr>
          <w:rFonts w:asciiTheme="majorHAnsi" w:hAnsiTheme="majorHAnsi"/>
        </w:rPr>
      </w:pPr>
      <w:r w:rsidRPr="008839D1">
        <w:rPr>
          <w:rFonts w:asciiTheme="majorHAnsi" w:hAnsiTheme="majorHAnsi"/>
          <w:szCs w:val="20"/>
        </w:rPr>
        <w:t xml:space="preserve">Key </w:t>
      </w:r>
      <w:r w:rsidR="00B915BF">
        <w:rPr>
          <w:rFonts w:asciiTheme="majorHAnsi" w:hAnsiTheme="majorHAnsi"/>
        </w:rPr>
        <w:t>Regional F</w:t>
      </w:r>
      <w:r w:rsidR="001C58EF">
        <w:rPr>
          <w:rFonts w:asciiTheme="majorHAnsi" w:hAnsiTheme="majorHAnsi"/>
        </w:rPr>
        <w:t xml:space="preserve">indings                                                                                                                                 </w:t>
      </w:r>
      <w:r w:rsidR="005A66B1">
        <w:rPr>
          <w:rFonts w:asciiTheme="majorHAnsi" w:hAnsiTheme="majorHAnsi"/>
        </w:rPr>
        <w:t xml:space="preserve"> </w:t>
      </w:r>
      <w:r w:rsidR="00013C31">
        <w:rPr>
          <w:rFonts w:asciiTheme="majorHAnsi" w:hAnsiTheme="majorHAnsi"/>
        </w:rPr>
        <w:t>1</w:t>
      </w:r>
      <w:r w:rsidR="004A0893">
        <w:rPr>
          <w:rFonts w:asciiTheme="majorHAnsi" w:hAnsiTheme="majorHAnsi"/>
        </w:rPr>
        <w:t>1</w:t>
      </w:r>
    </w:p>
    <w:p w14:paraId="0E15CB9B" w14:textId="28B795AD" w:rsidR="001C58EF" w:rsidRPr="003B2C4D" w:rsidRDefault="001C58EF" w:rsidP="003B2C4D">
      <w:pPr>
        <w:spacing w:after="240"/>
        <w:rPr>
          <w:rFonts w:asciiTheme="majorHAnsi" w:hAnsiTheme="majorHAnsi"/>
          <w:b/>
          <w:lang w:eastAsia="en-US"/>
        </w:rPr>
      </w:pPr>
      <w:r w:rsidRPr="003B2C4D">
        <w:rPr>
          <w:rFonts w:asciiTheme="majorHAnsi" w:hAnsiTheme="majorHAnsi"/>
          <w:b/>
          <w:lang w:eastAsia="en-US"/>
        </w:rPr>
        <w:t xml:space="preserve">References                                                                                                                                 </w:t>
      </w:r>
      <w:r w:rsidR="00F65F60">
        <w:rPr>
          <w:rFonts w:asciiTheme="majorHAnsi" w:hAnsiTheme="majorHAnsi"/>
          <w:b/>
          <w:lang w:eastAsia="en-US"/>
        </w:rPr>
        <w:t xml:space="preserve"> </w:t>
      </w:r>
      <w:r w:rsidR="00013C31" w:rsidRPr="004A0893">
        <w:rPr>
          <w:rFonts w:asciiTheme="majorHAnsi" w:hAnsiTheme="majorHAnsi"/>
          <w:lang w:eastAsia="en-US"/>
        </w:rPr>
        <w:t>1</w:t>
      </w:r>
      <w:r w:rsidR="004A0893" w:rsidRPr="004A0893">
        <w:rPr>
          <w:rFonts w:asciiTheme="majorHAnsi" w:hAnsiTheme="majorHAnsi"/>
          <w:lang w:eastAsia="en-US"/>
        </w:rPr>
        <w:t>6</w:t>
      </w:r>
    </w:p>
    <w:p w14:paraId="3DB2D1F5" w14:textId="6284821D" w:rsidR="008839D1" w:rsidRPr="005A66B1" w:rsidRDefault="008839D1" w:rsidP="003B2C4D">
      <w:pPr>
        <w:spacing w:after="240"/>
        <w:rPr>
          <w:rFonts w:asciiTheme="majorHAnsi" w:hAnsiTheme="majorHAnsi"/>
          <w:b/>
          <w:bCs/>
          <w:lang w:eastAsia="en-US"/>
        </w:rPr>
      </w:pPr>
      <w:r w:rsidRPr="003B2C4D">
        <w:rPr>
          <w:rFonts w:asciiTheme="majorHAnsi" w:hAnsiTheme="majorHAnsi"/>
          <w:b/>
          <w:bCs/>
          <w:lang w:eastAsia="en-US"/>
        </w:rPr>
        <w:t xml:space="preserve">Appendix: </w:t>
      </w:r>
      <w:r w:rsidRPr="003B2C4D">
        <w:rPr>
          <w:rFonts w:asciiTheme="majorHAnsi" w:hAnsiTheme="majorHAnsi"/>
        </w:rPr>
        <w:t xml:space="preserve">Summary of methodology by ecosystem service                                                               </w:t>
      </w:r>
      <w:r w:rsidR="00013C31">
        <w:rPr>
          <w:rFonts w:asciiTheme="majorHAnsi" w:hAnsiTheme="majorHAnsi"/>
        </w:rPr>
        <w:t>1</w:t>
      </w:r>
      <w:r w:rsidR="004A0893">
        <w:rPr>
          <w:rFonts w:asciiTheme="majorHAnsi" w:hAnsiTheme="majorHAnsi"/>
        </w:rPr>
        <w:t>8</w:t>
      </w:r>
    </w:p>
    <w:p w14:paraId="7FB0DB4D" w14:textId="6376828B" w:rsidR="006610E5" w:rsidRDefault="00355951" w:rsidP="00A35AA1">
      <w:pPr>
        <w:pStyle w:val="Heading1"/>
      </w:pPr>
      <w:r>
        <w:rPr>
          <w:noProof/>
        </w:rPr>
        <w:drawing>
          <wp:inline distT="0" distB="0" distL="0" distR="0" wp14:anchorId="547AF72C" wp14:editId="3754373A">
            <wp:extent cx="5731510" cy="3812568"/>
            <wp:effectExtent l="0" t="0" r="2540" b="0"/>
            <wp:docPr id="7939701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2568"/>
                    </a:xfrm>
                    <a:prstGeom prst="rect">
                      <a:avLst/>
                    </a:prstGeom>
                    <a:noFill/>
                  </pic:spPr>
                </pic:pic>
              </a:graphicData>
            </a:graphic>
          </wp:inline>
        </w:drawing>
      </w:r>
    </w:p>
    <w:p w14:paraId="3814E85C" w14:textId="0EA444D8" w:rsidR="006610E5" w:rsidRPr="006610E5" w:rsidRDefault="009A53FF" w:rsidP="006610E5">
      <w:pPr>
        <w:sectPr w:rsidR="006610E5" w:rsidRPr="006610E5" w:rsidSect="003B2C4D">
          <w:footerReference w:type="default" r:id="rId13"/>
          <w:pgSz w:w="11906" w:h="16838"/>
          <w:pgMar w:top="1134" w:right="1440" w:bottom="851" w:left="1440" w:header="709" w:footer="284" w:gutter="0"/>
          <w:cols w:space="708"/>
          <w:docGrid w:linePitch="360"/>
        </w:sectPr>
      </w:pPr>
      <w:r>
        <w:rPr>
          <w:noProof/>
        </w:rPr>
        <mc:AlternateContent>
          <mc:Choice Requires="wps">
            <w:drawing>
              <wp:inline distT="0" distB="0" distL="0" distR="0" wp14:anchorId="52D7134E" wp14:editId="19AF10FF">
                <wp:extent cx="304800" cy="304800"/>
                <wp:effectExtent l="0" t="0" r="0" b="0"/>
                <wp:docPr id="1146353528" name="Rectangle 21" descr="Bloxwich, Wyrley &amp; Essington Canal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E7992" id="Rectangle 21" o:spid="_x0000_s1026" alt="Bloxwich, Wyrley &amp; Essington Canal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55951" w:rsidRPr="00355951">
        <w:rPr>
          <w:noProof/>
        </w:rPr>
        <w:t xml:space="preserve"> </w:t>
      </w:r>
    </w:p>
    <w:p w14:paraId="3257BFC7" w14:textId="14DFB1E9" w:rsidR="00D878E0" w:rsidRPr="00667563" w:rsidRDefault="007C4354" w:rsidP="00A35AA1">
      <w:pPr>
        <w:pStyle w:val="Heading1"/>
      </w:pPr>
      <w:r>
        <w:lastRenderedPageBreak/>
        <w:t>Introduction</w:t>
      </w:r>
    </w:p>
    <w:p w14:paraId="1F52B60F" w14:textId="77028BD7" w:rsidR="00714421" w:rsidRPr="006256AB" w:rsidRDefault="00714421" w:rsidP="00D119DD">
      <w:r w:rsidRPr="006256AB">
        <w:t xml:space="preserve">The Canal &amp; River Trust </w:t>
      </w:r>
      <w:r w:rsidR="0052548C">
        <w:t>cares for</w:t>
      </w:r>
      <w:r w:rsidRPr="006256AB">
        <w:t xml:space="preserve"> </w:t>
      </w:r>
      <w:r w:rsidR="00FE4E11">
        <w:t>a national</w:t>
      </w:r>
      <w:r w:rsidR="00470BA6">
        <w:t xml:space="preserve"> </w:t>
      </w:r>
      <w:r w:rsidR="00FE4E11">
        <w:t xml:space="preserve">network of canals </w:t>
      </w:r>
      <w:r w:rsidR="002B0F24">
        <w:t xml:space="preserve">and towpaths, </w:t>
      </w:r>
      <w:r w:rsidR="00FE4E11">
        <w:t>river navigations</w:t>
      </w:r>
      <w:r w:rsidR="002B0F24">
        <w:t>, docks and reservoirs</w:t>
      </w:r>
      <w:r w:rsidR="00FE4E11">
        <w:t xml:space="preserve">, stretching for 2,000 miles </w:t>
      </w:r>
      <w:r w:rsidR="002B0F24">
        <w:t>(</w:t>
      </w:r>
      <w:r w:rsidR="00CC6EC8">
        <w:t xml:space="preserve">3,220 </w:t>
      </w:r>
      <w:r w:rsidR="002B0F24">
        <w:t xml:space="preserve">kms) </w:t>
      </w:r>
      <w:r w:rsidR="00470BA6">
        <w:t xml:space="preserve">across England </w:t>
      </w:r>
      <w:r w:rsidR="00FE4E11">
        <w:t>&amp; Wales.</w:t>
      </w:r>
      <w:r w:rsidR="00EB6604">
        <w:t xml:space="preserve"> </w:t>
      </w:r>
      <w:r w:rsidR="00470BA6">
        <w:t>It manages and maintains historic asset</w:t>
      </w:r>
      <w:r w:rsidR="00470BA6">
        <w:t xml:space="preserve">s, </w:t>
      </w:r>
      <w:r w:rsidR="00470BA6">
        <w:t xml:space="preserve">including </w:t>
      </w:r>
      <w:r w:rsidR="00470BA6">
        <w:t>a</w:t>
      </w:r>
      <w:r w:rsidR="00470BA6">
        <w:t>queducts, embankments, bridges and tunnels</w:t>
      </w:r>
      <w:r w:rsidR="00470BA6">
        <w:t>,</w:t>
      </w:r>
      <w:r w:rsidR="00470BA6" w:rsidRPr="006256AB">
        <w:t xml:space="preserve"> </w:t>
      </w:r>
      <w:r w:rsidR="00470BA6">
        <w:t xml:space="preserve">and provides </w:t>
      </w:r>
      <w:r w:rsidR="00470BA6" w:rsidRPr="006256AB">
        <w:t xml:space="preserve">green </w:t>
      </w:r>
      <w:r w:rsidR="00470BA6">
        <w:t xml:space="preserve">blue </w:t>
      </w:r>
      <w:r w:rsidR="00470BA6" w:rsidRPr="006256AB">
        <w:t xml:space="preserve">spaces </w:t>
      </w:r>
      <w:r w:rsidR="00470BA6">
        <w:t xml:space="preserve">and routes for people to use and </w:t>
      </w:r>
      <w:r w:rsidR="00470BA6">
        <w:t xml:space="preserve">to </w:t>
      </w:r>
      <w:r w:rsidR="00470BA6">
        <w:t>enjoy</w:t>
      </w:r>
      <w:r w:rsidR="00470BA6" w:rsidRPr="006256AB">
        <w:t xml:space="preserve">. </w:t>
      </w:r>
      <w:r w:rsidR="00121A81">
        <w:t>T</w:t>
      </w:r>
      <w:r w:rsidR="00BC406E">
        <w:t xml:space="preserve">he </w:t>
      </w:r>
      <w:r w:rsidR="00470BA6">
        <w:t>canal network plays</w:t>
      </w:r>
      <w:r w:rsidR="00D93C4F" w:rsidRPr="00D93C4F">
        <w:t xml:space="preserve"> a vital role in supporting water security, generating renewable energy, regulating urban temperatures, sequestering carbon and </w:t>
      </w:r>
      <w:r w:rsidR="00470BA6">
        <w:t>enhancing</w:t>
      </w:r>
      <w:r w:rsidR="00D93C4F" w:rsidRPr="00D93C4F">
        <w:t xml:space="preserve"> air quality. It also provides accessible spaces for recreation, contributes to physical and mental health and wellbeing, and creates opportunities for education, volunteering and community engagement. </w:t>
      </w:r>
      <w:r w:rsidR="00FE4E11">
        <w:t>Together, t</w:t>
      </w:r>
      <w:r w:rsidR="00717985">
        <w:t>he</w:t>
      </w:r>
      <w:r w:rsidR="00470BA6">
        <w:t>se services</w:t>
      </w:r>
      <w:r w:rsidR="00717985">
        <w:t xml:space="preserve"> </w:t>
      </w:r>
      <w:r w:rsidR="00FE4E11">
        <w:t xml:space="preserve">demonstrate </w:t>
      </w:r>
      <w:r w:rsidR="00F650FF">
        <w:t>the</w:t>
      </w:r>
      <w:r w:rsidR="00B12635">
        <w:t xml:space="preserve"> key role of the</w:t>
      </w:r>
      <w:r w:rsidR="00F650FF">
        <w:t xml:space="preserve"> canal network as </w:t>
      </w:r>
      <w:r w:rsidR="002B0F24">
        <w:t xml:space="preserve">nationally important </w:t>
      </w:r>
      <w:r w:rsidR="00F650FF">
        <w:t>infrastructure.</w:t>
      </w:r>
    </w:p>
    <w:p w14:paraId="31E2C31E" w14:textId="06B367B8" w:rsidR="006256AB" w:rsidRPr="006256AB" w:rsidRDefault="006256AB" w:rsidP="00D119DD">
      <w:r w:rsidRPr="006256AB">
        <w:t>This report</w:t>
      </w:r>
      <w:r w:rsidR="00793D0D">
        <w:t xml:space="preserve"> provides a </w:t>
      </w:r>
      <w:r w:rsidR="00793D0D" w:rsidRPr="000D2195">
        <w:t xml:space="preserve">systematic and consistent framework </w:t>
      </w:r>
      <w:r w:rsidR="00793D0D">
        <w:t xml:space="preserve">to measure </w:t>
      </w:r>
      <w:r w:rsidR="00793D0D" w:rsidRPr="000D2195">
        <w:t xml:space="preserve">the value </w:t>
      </w:r>
      <w:r w:rsidR="00793D0D">
        <w:t xml:space="preserve">of </w:t>
      </w:r>
      <w:r w:rsidR="00772FB7">
        <w:t xml:space="preserve">the natural assets </w:t>
      </w:r>
      <w:r w:rsidR="00FE4E11">
        <w:t xml:space="preserve">that </w:t>
      </w:r>
      <w:r w:rsidR="003E3FEC">
        <w:t>the Trust manage</w:t>
      </w:r>
      <w:r w:rsidR="00FE4E11">
        <w:t xml:space="preserve">s and is </w:t>
      </w:r>
      <w:r w:rsidR="003E3FEC">
        <w:t>responsib</w:t>
      </w:r>
      <w:r w:rsidR="00FE4E11">
        <w:t>le for</w:t>
      </w:r>
      <w:r w:rsidR="003E3FEC">
        <w:t xml:space="preserve"> </w:t>
      </w:r>
      <w:r w:rsidR="0037741E">
        <w:t>through a natural capital account baseline</w:t>
      </w:r>
      <w:r w:rsidR="00772FB7">
        <w:t xml:space="preserve"> for the year 2023. </w:t>
      </w:r>
      <w:r w:rsidR="00B9475E" w:rsidRPr="00B9475E">
        <w:t xml:space="preserve">This publication presents an initial </w:t>
      </w:r>
      <w:r w:rsidR="00FE4E11">
        <w:t>application of that framework</w:t>
      </w:r>
      <w:r w:rsidR="003D2987">
        <w:t>.</w:t>
      </w:r>
      <w:r w:rsidR="00CF3318">
        <w:t xml:space="preserve"> </w:t>
      </w:r>
      <w:r w:rsidR="00B9475E" w:rsidRPr="00B9475E">
        <w:t xml:space="preserve">Future updates will incorporate additional components (such as a </w:t>
      </w:r>
      <w:r w:rsidR="00F371EA">
        <w:t>natural capital</w:t>
      </w:r>
      <w:r w:rsidR="00B9475E" w:rsidRPr="00B9475E">
        <w:t xml:space="preserve"> balance sheet), consistent with Defra’s </w:t>
      </w:r>
      <w:r w:rsidR="00BA09FA">
        <w:t>Enabling a Natural Capital Approach (</w:t>
      </w:r>
      <w:r w:rsidR="00B9475E" w:rsidRPr="00B9475E">
        <w:t>ENCA</w:t>
      </w:r>
      <w:r w:rsidR="00BA09FA">
        <w:t>)</w:t>
      </w:r>
      <w:r w:rsidR="00B9475E" w:rsidRPr="00B9475E">
        <w:t xml:space="preserve"> guidance on a staged approach. Iteration will also enable the Trust to track changes and respond to emerging sustainability challenges.</w:t>
      </w:r>
    </w:p>
    <w:p w14:paraId="3F2DB60A" w14:textId="7E7FCAF8" w:rsidR="006256AB" w:rsidRPr="003C5099" w:rsidRDefault="006256AB" w:rsidP="00D119DD">
      <w:r>
        <w:t xml:space="preserve">The </w:t>
      </w:r>
      <w:r w:rsidR="000E5A33">
        <w:t xml:space="preserve">Trust’s </w:t>
      </w:r>
      <w:r>
        <w:t>natural capital accounts follow Corporate Natural Capital Accounting (CNCA) guidance and include the following core components:</w:t>
      </w:r>
    </w:p>
    <w:p w14:paraId="57AD828F" w14:textId="147B7178" w:rsidR="006256AB" w:rsidRPr="00717985" w:rsidRDefault="006256AB" w:rsidP="00A122EF">
      <w:pPr>
        <w:pStyle w:val="ListBullet"/>
        <w:numPr>
          <w:ilvl w:val="0"/>
          <w:numId w:val="32"/>
        </w:numPr>
        <w:tabs>
          <w:tab w:val="clear" w:pos="357"/>
        </w:tabs>
        <w:spacing w:after="120" w:line="240" w:lineRule="atLeast"/>
        <w:rPr>
          <w:rFonts w:asciiTheme="minorHAnsi" w:hAnsiTheme="minorHAnsi"/>
          <w:color w:val="auto"/>
          <w:sz w:val="20"/>
          <w:szCs w:val="20"/>
        </w:rPr>
      </w:pPr>
      <w:r w:rsidRPr="00717985">
        <w:rPr>
          <w:rFonts w:asciiTheme="minorHAnsi" w:hAnsiTheme="minorHAnsi"/>
          <w:b/>
          <w:color w:val="auto"/>
          <w:sz w:val="20"/>
          <w:szCs w:val="20"/>
        </w:rPr>
        <w:t>Natural capital asset register:</w:t>
      </w:r>
      <w:r w:rsidRPr="00717985">
        <w:rPr>
          <w:rFonts w:asciiTheme="minorHAnsi" w:hAnsiTheme="minorHAnsi"/>
          <w:color w:val="auto"/>
          <w:sz w:val="20"/>
          <w:szCs w:val="20"/>
        </w:rPr>
        <w:t xml:space="preserve"> An inventory of the stocks of the relevant natural capital assets</w:t>
      </w:r>
      <w:r w:rsidR="00CF494C">
        <w:rPr>
          <w:rFonts w:asciiTheme="minorHAnsi" w:hAnsiTheme="minorHAnsi"/>
          <w:color w:val="auto"/>
          <w:sz w:val="20"/>
          <w:szCs w:val="20"/>
        </w:rPr>
        <w:t xml:space="preserve"> (called habitats)</w:t>
      </w:r>
      <w:r w:rsidRPr="00717985">
        <w:rPr>
          <w:rFonts w:asciiTheme="minorHAnsi" w:hAnsiTheme="minorHAnsi"/>
          <w:color w:val="auto"/>
          <w:sz w:val="20"/>
          <w:szCs w:val="20"/>
        </w:rPr>
        <w:t xml:space="preserve"> and information regarding the condition of these assets.</w:t>
      </w:r>
    </w:p>
    <w:p w14:paraId="36769B7D" w14:textId="41615792" w:rsidR="006256AB" w:rsidRPr="00717985" w:rsidRDefault="006256AB" w:rsidP="00A122EF">
      <w:pPr>
        <w:pStyle w:val="ListBullet"/>
        <w:numPr>
          <w:ilvl w:val="0"/>
          <w:numId w:val="32"/>
        </w:numPr>
        <w:tabs>
          <w:tab w:val="clear" w:pos="357"/>
        </w:tabs>
        <w:spacing w:after="120" w:line="240" w:lineRule="atLeast"/>
        <w:rPr>
          <w:rFonts w:asciiTheme="minorHAnsi" w:hAnsiTheme="minorHAnsi"/>
          <w:color w:val="auto"/>
          <w:sz w:val="20"/>
          <w:szCs w:val="20"/>
        </w:rPr>
      </w:pPr>
      <w:r w:rsidRPr="00717985">
        <w:rPr>
          <w:rFonts w:asciiTheme="minorHAnsi" w:hAnsiTheme="minorHAnsi"/>
          <w:b/>
          <w:color w:val="auto"/>
          <w:sz w:val="20"/>
          <w:szCs w:val="20"/>
        </w:rPr>
        <w:t xml:space="preserve">Physical flow account: </w:t>
      </w:r>
      <w:r w:rsidRPr="00717985">
        <w:rPr>
          <w:rFonts w:asciiTheme="minorHAnsi" w:hAnsiTheme="minorHAnsi"/>
          <w:color w:val="auto"/>
          <w:sz w:val="20"/>
          <w:szCs w:val="20"/>
        </w:rPr>
        <w:t xml:space="preserve">A record of the </w:t>
      </w:r>
      <w:r w:rsidR="00977B5F">
        <w:rPr>
          <w:rFonts w:asciiTheme="minorHAnsi" w:hAnsiTheme="minorHAnsi"/>
          <w:color w:val="auto"/>
          <w:sz w:val="20"/>
          <w:szCs w:val="20"/>
        </w:rPr>
        <w:t>estimated</w:t>
      </w:r>
      <w:r w:rsidR="00977B5F" w:rsidRPr="00717985">
        <w:rPr>
          <w:rFonts w:asciiTheme="minorHAnsi" w:hAnsiTheme="minorHAnsi"/>
          <w:color w:val="auto"/>
          <w:sz w:val="20"/>
          <w:szCs w:val="20"/>
        </w:rPr>
        <w:t xml:space="preserve"> </w:t>
      </w:r>
      <w:r w:rsidRPr="00717985">
        <w:rPr>
          <w:rFonts w:asciiTheme="minorHAnsi" w:hAnsiTheme="minorHAnsi"/>
          <w:color w:val="auto"/>
          <w:sz w:val="20"/>
          <w:szCs w:val="20"/>
        </w:rPr>
        <w:t>flow of the goods and services</w:t>
      </w:r>
      <w:r w:rsidR="005648BB">
        <w:rPr>
          <w:rFonts w:asciiTheme="minorHAnsi" w:hAnsiTheme="minorHAnsi"/>
          <w:color w:val="auto"/>
          <w:sz w:val="20"/>
          <w:szCs w:val="20"/>
        </w:rPr>
        <w:t xml:space="preserve"> (called ecosystem services)</w:t>
      </w:r>
      <w:r w:rsidRPr="00717985">
        <w:rPr>
          <w:rFonts w:asciiTheme="minorHAnsi" w:hAnsiTheme="minorHAnsi"/>
          <w:color w:val="auto"/>
          <w:sz w:val="20"/>
          <w:szCs w:val="20"/>
        </w:rPr>
        <w:t xml:space="preserve"> produced by the </w:t>
      </w:r>
      <w:r w:rsidR="00193D10">
        <w:rPr>
          <w:rFonts w:asciiTheme="minorHAnsi" w:hAnsiTheme="minorHAnsi"/>
          <w:color w:val="auto"/>
          <w:sz w:val="20"/>
          <w:szCs w:val="20"/>
        </w:rPr>
        <w:t>habitats</w:t>
      </w:r>
      <w:r w:rsidRPr="00717985">
        <w:rPr>
          <w:rFonts w:asciiTheme="minorHAnsi" w:hAnsiTheme="minorHAnsi"/>
          <w:color w:val="auto"/>
          <w:sz w:val="20"/>
          <w:szCs w:val="20"/>
        </w:rPr>
        <w:t xml:space="preserve"> specified in the asset register, measured in physical units.</w:t>
      </w:r>
    </w:p>
    <w:p w14:paraId="7F37E7B1" w14:textId="4DFCCC12" w:rsidR="006256AB" w:rsidRPr="00CE4981" w:rsidRDefault="006256AB" w:rsidP="00A122EF">
      <w:pPr>
        <w:pStyle w:val="ListBullet"/>
        <w:numPr>
          <w:ilvl w:val="0"/>
          <w:numId w:val="32"/>
        </w:numPr>
        <w:tabs>
          <w:tab w:val="clear" w:pos="357"/>
        </w:tabs>
        <w:spacing w:after="120" w:line="240" w:lineRule="atLeast"/>
      </w:pPr>
      <w:r w:rsidRPr="00717985">
        <w:rPr>
          <w:rFonts w:asciiTheme="minorHAnsi" w:hAnsiTheme="minorHAnsi"/>
          <w:b/>
          <w:color w:val="auto"/>
          <w:sz w:val="20"/>
          <w:szCs w:val="20"/>
        </w:rPr>
        <w:t xml:space="preserve">Monetary flow account: </w:t>
      </w:r>
      <w:r w:rsidRPr="00717985">
        <w:rPr>
          <w:rFonts w:asciiTheme="minorHAnsi" w:hAnsiTheme="minorHAnsi"/>
          <w:color w:val="auto"/>
          <w:sz w:val="20"/>
          <w:szCs w:val="20"/>
        </w:rPr>
        <w:t xml:space="preserve">A record of the value of the </w:t>
      </w:r>
      <w:r w:rsidR="00977B5F">
        <w:rPr>
          <w:rFonts w:asciiTheme="minorHAnsi" w:hAnsiTheme="minorHAnsi"/>
          <w:color w:val="auto"/>
          <w:sz w:val="20"/>
          <w:szCs w:val="20"/>
        </w:rPr>
        <w:t>estimated</w:t>
      </w:r>
      <w:r w:rsidR="00977B5F" w:rsidRPr="00717985">
        <w:rPr>
          <w:rFonts w:asciiTheme="minorHAnsi" w:hAnsiTheme="minorHAnsi"/>
          <w:color w:val="auto"/>
          <w:sz w:val="20"/>
          <w:szCs w:val="20"/>
        </w:rPr>
        <w:t xml:space="preserve"> </w:t>
      </w:r>
      <w:r w:rsidRPr="00717985">
        <w:rPr>
          <w:rFonts w:asciiTheme="minorHAnsi" w:hAnsiTheme="minorHAnsi"/>
          <w:color w:val="auto"/>
          <w:sz w:val="20"/>
          <w:szCs w:val="20"/>
        </w:rPr>
        <w:t>flow of the goods and services</w:t>
      </w:r>
      <w:r w:rsidR="005648BB">
        <w:rPr>
          <w:rFonts w:asciiTheme="minorHAnsi" w:hAnsiTheme="minorHAnsi"/>
          <w:color w:val="auto"/>
          <w:sz w:val="20"/>
          <w:szCs w:val="20"/>
        </w:rPr>
        <w:t xml:space="preserve"> (called ecosystem services)</w:t>
      </w:r>
      <w:r w:rsidRPr="00717985">
        <w:rPr>
          <w:rFonts w:asciiTheme="minorHAnsi" w:hAnsiTheme="minorHAnsi"/>
          <w:color w:val="auto"/>
          <w:sz w:val="20"/>
          <w:szCs w:val="20"/>
        </w:rPr>
        <w:t xml:space="preserve"> set out in the physical flow account. Value is measured with respect to both the private benefits of the organisation as well as the wider societal benefits</w:t>
      </w:r>
      <w:r w:rsidR="00C643D0">
        <w:rPr>
          <w:rFonts w:asciiTheme="minorHAnsi" w:hAnsiTheme="minorHAnsi"/>
          <w:color w:val="auto"/>
          <w:sz w:val="20"/>
          <w:szCs w:val="20"/>
        </w:rPr>
        <w:t>. This is complemented with the valu</w:t>
      </w:r>
      <w:r w:rsidR="00F01829">
        <w:rPr>
          <w:rFonts w:asciiTheme="minorHAnsi" w:hAnsiTheme="minorHAnsi"/>
          <w:color w:val="auto"/>
          <w:sz w:val="20"/>
          <w:szCs w:val="20"/>
        </w:rPr>
        <w:t xml:space="preserve">e </w:t>
      </w:r>
      <w:r w:rsidR="00CF366E">
        <w:rPr>
          <w:rFonts w:asciiTheme="minorHAnsi" w:hAnsiTheme="minorHAnsi"/>
          <w:color w:val="auto"/>
          <w:sz w:val="20"/>
          <w:szCs w:val="20"/>
        </w:rPr>
        <w:t xml:space="preserve">of the whole life </w:t>
      </w:r>
      <w:r w:rsidR="00114F37">
        <w:rPr>
          <w:rFonts w:asciiTheme="minorHAnsi" w:hAnsiTheme="minorHAnsi"/>
          <w:color w:val="auto"/>
          <w:sz w:val="20"/>
          <w:szCs w:val="20"/>
        </w:rPr>
        <w:t>of the Trust’s natural capital</w:t>
      </w:r>
      <w:r w:rsidRPr="003C5099">
        <w:t>.</w:t>
      </w:r>
      <w:r w:rsidR="00C643D0">
        <w:t xml:space="preserve"> </w:t>
      </w:r>
    </w:p>
    <w:p w14:paraId="5C05355B" w14:textId="6E576985" w:rsidR="00835890" w:rsidRDefault="00835890">
      <w:pPr>
        <w:pStyle w:val="ListBullet"/>
        <w:rPr>
          <w:kern w:val="2"/>
          <w14:ligatures w14:val="standardContextual"/>
        </w:rPr>
      </w:pPr>
      <w:r>
        <w:rPr>
          <w:rFonts w:ascii="Modern Era" w:hAnsi="Modern Era"/>
          <w:color w:val="auto"/>
          <w:sz w:val="20"/>
          <w:szCs w:val="20"/>
        </w:rPr>
        <w:t>The Trust’s habitats deliver an annual value of £3.</w:t>
      </w:r>
      <w:r w:rsidR="00743F09">
        <w:rPr>
          <w:rFonts w:ascii="Modern Era" w:hAnsi="Modern Era"/>
          <w:color w:val="auto"/>
          <w:sz w:val="20"/>
          <w:szCs w:val="20"/>
        </w:rPr>
        <w:t>3 billion</w:t>
      </w:r>
      <w:r>
        <w:rPr>
          <w:rFonts w:ascii="Modern Era" w:hAnsi="Modern Era"/>
          <w:color w:val="auto"/>
          <w:sz w:val="20"/>
          <w:szCs w:val="20"/>
        </w:rPr>
        <w:t>. Over a 100-year period, the estimated asset value is £99.2</w:t>
      </w:r>
      <w:r w:rsidR="006317CC">
        <w:rPr>
          <w:rFonts w:ascii="Modern Era" w:hAnsi="Modern Era"/>
          <w:color w:val="auto"/>
          <w:sz w:val="20"/>
          <w:szCs w:val="20"/>
        </w:rPr>
        <w:t>billion</w:t>
      </w:r>
      <w:r>
        <w:rPr>
          <w:rFonts w:ascii="Modern Era" w:hAnsi="Modern Era"/>
          <w:color w:val="auto"/>
          <w:sz w:val="20"/>
          <w:szCs w:val="20"/>
        </w:rPr>
        <w:t xml:space="preserve">. </w:t>
      </w:r>
    </w:p>
    <w:p w14:paraId="336D3152" w14:textId="23F599BE" w:rsidR="00172E19" w:rsidRDefault="0052548C" w:rsidP="00433DE8">
      <w:r w:rsidRPr="006610E5">
        <w:rPr>
          <w:rFonts w:ascii="Modern Era Bold" w:hAnsi="Modern Era Bold"/>
        </w:rPr>
        <w:t xml:space="preserve">Recreation, tourism and health benefits </w:t>
      </w:r>
      <w:r w:rsidR="003D69EC" w:rsidRPr="006610E5">
        <w:rPr>
          <w:rFonts w:ascii="Modern Era Bold" w:hAnsi="Modern Era Bold"/>
        </w:rPr>
        <w:t xml:space="preserve">account for </w:t>
      </w:r>
      <w:r w:rsidRPr="006610E5">
        <w:rPr>
          <w:rFonts w:ascii="Modern Era Bold" w:hAnsi="Modern Era Bold"/>
        </w:rPr>
        <w:t xml:space="preserve">around 90% of the total value of </w:t>
      </w:r>
      <w:r w:rsidR="00B12635" w:rsidRPr="006610E5">
        <w:rPr>
          <w:rFonts w:ascii="Modern Era Bold" w:hAnsi="Modern Era Bold"/>
        </w:rPr>
        <w:t>the Trust’s</w:t>
      </w:r>
      <w:r w:rsidRPr="006610E5">
        <w:rPr>
          <w:rFonts w:ascii="Modern Era Bold" w:hAnsi="Modern Era Bold"/>
        </w:rPr>
        <w:t xml:space="preserve"> natural assets.</w:t>
      </w:r>
      <w:r w:rsidRPr="0062040C">
        <w:t xml:space="preserve"> </w:t>
      </w:r>
      <w:r w:rsidR="00B12635" w:rsidRPr="0062040C">
        <w:t xml:space="preserve">This is because the network is an important free and accessible blue-green space, with 9 million people living within </w:t>
      </w:r>
      <w:r w:rsidR="00172E19">
        <w:t xml:space="preserve">a </w:t>
      </w:r>
      <w:r w:rsidR="00B12635" w:rsidRPr="0062040C">
        <w:t>10–</w:t>
      </w:r>
      <w:r w:rsidR="00EC38C0" w:rsidRPr="0062040C">
        <w:t>15-minute</w:t>
      </w:r>
      <w:r w:rsidR="00B12635" w:rsidRPr="0062040C">
        <w:t xml:space="preserve"> walk of one of the Trust’s canals.</w:t>
      </w:r>
      <w:r w:rsidR="00B12635" w:rsidRPr="00B12635">
        <w:t xml:space="preserve"> </w:t>
      </w:r>
    </w:p>
    <w:p w14:paraId="487B251D" w14:textId="5B5DE964" w:rsidR="003C3A73" w:rsidRPr="006D3BCF" w:rsidRDefault="003C3A73" w:rsidP="00433DE8">
      <w:r>
        <w:t xml:space="preserve">From a regional perspective, </w:t>
      </w:r>
      <w:r w:rsidRPr="006D3BCF">
        <w:t xml:space="preserve">London &amp; South East’s natural assets have the highest total </w:t>
      </w:r>
      <w:r w:rsidRPr="00261CA0">
        <w:t>value at £2</w:t>
      </w:r>
      <w:r w:rsidRPr="00183189">
        <w:t>8</w:t>
      </w:r>
      <w:r w:rsidRPr="00261CA0">
        <w:t>.</w:t>
      </w:r>
      <w:r w:rsidRPr="00183189">
        <w:t>1</w:t>
      </w:r>
      <w:r w:rsidR="006317CC">
        <w:t>billion</w:t>
      </w:r>
      <w:r w:rsidRPr="00261CA0">
        <w:t xml:space="preserve"> due</w:t>
      </w:r>
      <w:r w:rsidRPr="006D3BCF">
        <w:t xml:space="preserve"> to the </w:t>
      </w:r>
      <w:r w:rsidR="001C58EF">
        <w:t xml:space="preserve">location of water transfer projects, </w:t>
      </w:r>
      <w:r w:rsidR="00F52F1E">
        <w:t xml:space="preserve">a </w:t>
      </w:r>
      <w:r w:rsidR="00044BC1">
        <w:t>high</w:t>
      </w:r>
      <w:r w:rsidR="001C58EF">
        <w:t xml:space="preserve"> urban cooling effect </w:t>
      </w:r>
      <w:r w:rsidR="00D9371E">
        <w:t>in a region that experiences the highest temperatures</w:t>
      </w:r>
      <w:r w:rsidR="002E4AD2">
        <w:t>,</w:t>
      </w:r>
      <w:r w:rsidR="00D9371E">
        <w:t xml:space="preserve"> </w:t>
      </w:r>
      <w:r w:rsidR="002E4AD2">
        <w:t>high</w:t>
      </w:r>
      <w:r w:rsidR="001C58EF">
        <w:t xml:space="preserve"> property prices</w:t>
      </w:r>
      <w:r w:rsidR="003215A0">
        <w:t xml:space="preserve"> that lead to higher amenity </w:t>
      </w:r>
      <w:r w:rsidR="003C6C19">
        <w:t>values</w:t>
      </w:r>
      <w:r w:rsidR="001C58EF">
        <w:t xml:space="preserve">, and the higher overall number of visits. </w:t>
      </w:r>
    </w:p>
    <w:p w14:paraId="1F105E40" w14:textId="2D0A0479" w:rsidR="006256AB" w:rsidRDefault="005C1F41" w:rsidP="00D119DD">
      <w:pPr>
        <w:pStyle w:val="ListBullet"/>
        <w:rPr>
          <w:rFonts w:asciiTheme="minorHAnsi" w:hAnsiTheme="minorHAnsi"/>
          <w:color w:val="auto"/>
          <w:sz w:val="20"/>
          <w:szCs w:val="20"/>
        </w:rPr>
      </w:pPr>
      <w:r w:rsidRPr="00A12C20">
        <w:rPr>
          <w:rFonts w:asciiTheme="minorHAnsi" w:hAnsiTheme="minorHAnsi"/>
          <w:color w:val="auto"/>
          <w:sz w:val="20"/>
          <w:szCs w:val="20"/>
        </w:rPr>
        <w:t>The</w:t>
      </w:r>
      <w:r w:rsidR="006256AB" w:rsidRPr="00A12C20">
        <w:rPr>
          <w:rFonts w:asciiTheme="minorHAnsi" w:hAnsiTheme="minorHAnsi"/>
          <w:color w:val="auto"/>
          <w:sz w:val="20"/>
          <w:szCs w:val="20"/>
        </w:rPr>
        <w:t xml:space="preserve"> natural capital monetary estimates presented in the report should be viewed as a partial value of the services provided by the Trust’s natural assets, given that some services are less easy to fully quantify and value. </w:t>
      </w:r>
      <w:r w:rsidR="003C3094" w:rsidRPr="00A12C20">
        <w:rPr>
          <w:rFonts w:asciiTheme="minorHAnsi" w:hAnsiTheme="minorHAnsi"/>
          <w:color w:val="auto"/>
          <w:sz w:val="20"/>
          <w:szCs w:val="20"/>
        </w:rPr>
        <w:t xml:space="preserve">Although biodiversity benefits are captured through the valuation of ecosystem services, the migration </w:t>
      </w:r>
      <w:r w:rsidR="0009226D" w:rsidRPr="00A12C20">
        <w:rPr>
          <w:rFonts w:asciiTheme="minorHAnsi" w:hAnsiTheme="minorHAnsi"/>
          <w:color w:val="auto"/>
          <w:sz w:val="20"/>
          <w:szCs w:val="20"/>
        </w:rPr>
        <w:t xml:space="preserve">enabled through the connectivity dimension of the canal network may not be completely captured and </w:t>
      </w:r>
      <w:r w:rsidR="003646E7">
        <w:rPr>
          <w:rFonts w:asciiTheme="minorHAnsi" w:hAnsiTheme="minorHAnsi"/>
          <w:color w:val="auto"/>
          <w:sz w:val="20"/>
          <w:szCs w:val="20"/>
        </w:rPr>
        <w:t xml:space="preserve">it </w:t>
      </w:r>
      <w:r w:rsidR="007B5058">
        <w:rPr>
          <w:rFonts w:asciiTheme="minorHAnsi" w:hAnsiTheme="minorHAnsi"/>
          <w:color w:val="auto"/>
          <w:sz w:val="20"/>
          <w:szCs w:val="20"/>
        </w:rPr>
        <w:t>require</w:t>
      </w:r>
      <w:r w:rsidR="003646E7">
        <w:rPr>
          <w:rFonts w:asciiTheme="minorHAnsi" w:hAnsiTheme="minorHAnsi"/>
          <w:color w:val="auto"/>
          <w:sz w:val="20"/>
          <w:szCs w:val="20"/>
        </w:rPr>
        <w:t>s</w:t>
      </w:r>
      <w:r w:rsidR="0009226D" w:rsidRPr="00A12C20">
        <w:rPr>
          <w:rFonts w:asciiTheme="minorHAnsi" w:hAnsiTheme="minorHAnsi"/>
          <w:color w:val="auto"/>
          <w:sz w:val="20"/>
          <w:szCs w:val="20"/>
        </w:rPr>
        <w:t xml:space="preserve"> further research to be included. </w:t>
      </w:r>
      <w:r w:rsidR="006878A3" w:rsidRPr="00A12C20">
        <w:rPr>
          <w:rFonts w:asciiTheme="minorHAnsi" w:hAnsiTheme="minorHAnsi"/>
          <w:color w:val="auto"/>
          <w:sz w:val="20"/>
          <w:szCs w:val="20"/>
        </w:rPr>
        <w:t xml:space="preserve">We </w:t>
      </w:r>
      <w:r w:rsidR="004D187E" w:rsidRPr="00A12C20">
        <w:rPr>
          <w:rFonts w:asciiTheme="minorHAnsi" w:hAnsiTheme="minorHAnsi"/>
          <w:color w:val="auto"/>
          <w:sz w:val="20"/>
          <w:szCs w:val="20"/>
        </w:rPr>
        <w:t>are also aware</w:t>
      </w:r>
      <w:r w:rsidR="00C570D4" w:rsidRPr="00A12C20">
        <w:rPr>
          <w:rFonts w:asciiTheme="minorHAnsi" w:hAnsiTheme="minorHAnsi"/>
          <w:color w:val="auto"/>
          <w:sz w:val="20"/>
          <w:szCs w:val="20"/>
        </w:rPr>
        <w:t xml:space="preserve"> t</w:t>
      </w:r>
      <w:r w:rsidR="003C5EA8" w:rsidRPr="00A12C20">
        <w:rPr>
          <w:rFonts w:asciiTheme="minorHAnsi" w:hAnsiTheme="minorHAnsi"/>
          <w:color w:val="auto"/>
          <w:sz w:val="20"/>
          <w:szCs w:val="20"/>
        </w:rPr>
        <w:t>ha</w:t>
      </w:r>
      <w:r w:rsidR="00422AB3" w:rsidRPr="00A12C20">
        <w:rPr>
          <w:rFonts w:asciiTheme="minorHAnsi" w:hAnsiTheme="minorHAnsi"/>
          <w:color w:val="auto"/>
          <w:sz w:val="20"/>
          <w:szCs w:val="20"/>
        </w:rPr>
        <w:t>t there</w:t>
      </w:r>
      <w:r w:rsidR="00EF49A3" w:rsidRPr="00A12C20">
        <w:rPr>
          <w:rFonts w:asciiTheme="minorHAnsi" w:hAnsiTheme="minorHAnsi"/>
          <w:color w:val="auto"/>
          <w:sz w:val="20"/>
          <w:szCs w:val="20"/>
        </w:rPr>
        <w:t xml:space="preserve"> are</w:t>
      </w:r>
      <w:r w:rsidR="00040662" w:rsidRPr="00A12C20">
        <w:rPr>
          <w:rFonts w:asciiTheme="minorHAnsi" w:hAnsiTheme="minorHAnsi"/>
          <w:color w:val="auto"/>
          <w:sz w:val="20"/>
          <w:szCs w:val="20"/>
        </w:rPr>
        <w:t xml:space="preserve"> limitations in any</w:t>
      </w:r>
      <w:r w:rsidR="00724886">
        <w:rPr>
          <w:rFonts w:asciiTheme="minorHAnsi" w:hAnsiTheme="minorHAnsi"/>
          <w:color w:val="auto"/>
          <w:sz w:val="20"/>
          <w:szCs w:val="20"/>
        </w:rPr>
        <w:t xml:space="preserve"> natural capital</w:t>
      </w:r>
      <w:r w:rsidR="00040662" w:rsidRPr="00A12C20">
        <w:rPr>
          <w:rFonts w:asciiTheme="minorHAnsi" w:hAnsiTheme="minorHAnsi"/>
          <w:color w:val="auto"/>
          <w:sz w:val="20"/>
          <w:szCs w:val="20"/>
        </w:rPr>
        <w:t xml:space="preserve"> valuation </w:t>
      </w:r>
      <w:r w:rsidR="00377E36" w:rsidRPr="00A12C20">
        <w:rPr>
          <w:rFonts w:asciiTheme="minorHAnsi" w:hAnsiTheme="minorHAnsi"/>
          <w:color w:val="auto"/>
          <w:sz w:val="20"/>
          <w:szCs w:val="20"/>
        </w:rPr>
        <w:t>exercise</w:t>
      </w:r>
      <w:r w:rsidR="00BF5F0F" w:rsidRPr="00A12C20">
        <w:rPr>
          <w:rFonts w:asciiTheme="minorHAnsi" w:hAnsiTheme="minorHAnsi"/>
          <w:color w:val="auto"/>
          <w:sz w:val="20"/>
          <w:szCs w:val="20"/>
        </w:rPr>
        <w:t xml:space="preserve">. </w:t>
      </w:r>
      <w:r w:rsidR="00BF5F0F" w:rsidRPr="0035225B">
        <w:rPr>
          <w:rFonts w:asciiTheme="minorHAnsi" w:hAnsiTheme="minorHAnsi"/>
          <w:color w:val="auto"/>
          <w:sz w:val="20"/>
          <w:szCs w:val="20"/>
        </w:rPr>
        <w:t xml:space="preserve">For example, we cannot </w:t>
      </w:r>
      <w:r w:rsidR="00BD00D2" w:rsidRPr="0035225B">
        <w:rPr>
          <w:rFonts w:asciiTheme="minorHAnsi" w:hAnsiTheme="minorHAnsi"/>
          <w:color w:val="auto"/>
          <w:sz w:val="20"/>
          <w:szCs w:val="20"/>
        </w:rPr>
        <w:t>capture relational</w:t>
      </w:r>
      <w:r w:rsidR="00E15363" w:rsidRPr="0035225B">
        <w:rPr>
          <w:rFonts w:asciiTheme="minorHAnsi" w:hAnsiTheme="minorHAnsi"/>
          <w:color w:val="auto"/>
          <w:sz w:val="20"/>
          <w:szCs w:val="20"/>
        </w:rPr>
        <w:t>, collec</w:t>
      </w:r>
      <w:r w:rsidR="0035225B" w:rsidRPr="0035225B">
        <w:rPr>
          <w:rFonts w:asciiTheme="minorHAnsi" w:hAnsiTheme="minorHAnsi"/>
          <w:color w:val="auto"/>
          <w:sz w:val="20"/>
          <w:szCs w:val="20"/>
        </w:rPr>
        <w:t>tive</w:t>
      </w:r>
      <w:r w:rsidR="00A74AB1" w:rsidRPr="0035225B">
        <w:rPr>
          <w:rFonts w:asciiTheme="minorHAnsi" w:hAnsiTheme="minorHAnsi"/>
          <w:color w:val="auto"/>
          <w:sz w:val="20"/>
          <w:szCs w:val="20"/>
        </w:rPr>
        <w:t xml:space="preserve"> </w:t>
      </w:r>
      <w:r w:rsidR="006B4F26" w:rsidRPr="0035225B">
        <w:rPr>
          <w:rFonts w:asciiTheme="minorHAnsi" w:hAnsiTheme="minorHAnsi"/>
          <w:color w:val="auto"/>
          <w:sz w:val="20"/>
          <w:szCs w:val="20"/>
        </w:rPr>
        <w:t xml:space="preserve">or intrinsic </w:t>
      </w:r>
      <w:r w:rsidR="002F6EB1" w:rsidRPr="0035225B">
        <w:rPr>
          <w:rFonts w:asciiTheme="minorHAnsi" w:hAnsiTheme="minorHAnsi"/>
          <w:color w:val="auto"/>
          <w:sz w:val="20"/>
          <w:szCs w:val="20"/>
        </w:rPr>
        <w:t>values</w:t>
      </w:r>
      <w:r w:rsidR="0035225B" w:rsidRPr="0035225B">
        <w:rPr>
          <w:rFonts w:asciiTheme="minorHAnsi" w:hAnsiTheme="minorHAnsi"/>
          <w:color w:val="auto"/>
          <w:sz w:val="20"/>
          <w:szCs w:val="20"/>
        </w:rPr>
        <w:t>.</w:t>
      </w:r>
    </w:p>
    <w:p w14:paraId="2DA8207E" w14:textId="68127D7D" w:rsidR="00CD6A93" w:rsidRDefault="00B12635" w:rsidP="00F56EA4">
      <w:r>
        <w:t xml:space="preserve">The report </w:t>
      </w:r>
      <w:r w:rsidR="00433DE8">
        <w:t>delves into the</w:t>
      </w:r>
      <w:r w:rsidR="00D119DD">
        <w:t xml:space="preserve"> natural dimension of waterways. </w:t>
      </w:r>
      <w:r>
        <w:t xml:space="preserve">However, </w:t>
      </w:r>
      <w:r w:rsidR="00F22C28">
        <w:t xml:space="preserve">the Canal &amp; River Trust </w:t>
      </w:r>
      <w:r w:rsidR="00433DE8">
        <w:t xml:space="preserve">is </w:t>
      </w:r>
      <w:r w:rsidR="00D119DD">
        <w:t>aim</w:t>
      </w:r>
      <w:r w:rsidR="00433DE8">
        <w:t>ing</w:t>
      </w:r>
      <w:r>
        <w:t xml:space="preserve"> </w:t>
      </w:r>
      <w:r w:rsidR="00D119DD">
        <w:t>to develop an inclusive wealth framework that measures the</w:t>
      </w:r>
      <w:r>
        <w:t xml:space="preserve"> holistic</w:t>
      </w:r>
      <w:r w:rsidR="00D119DD">
        <w:t xml:space="preserve"> long-term social value delivered by</w:t>
      </w:r>
      <w:r>
        <w:t xml:space="preserve"> </w:t>
      </w:r>
      <w:r w:rsidR="00DD1ECB">
        <w:t xml:space="preserve">the Trust’s </w:t>
      </w:r>
      <w:r>
        <w:t>waterways. This means valuing the economic, environmental, social and cultural footprint of the canal network.</w:t>
      </w:r>
      <w:r w:rsidR="001C58EF">
        <w:t xml:space="preserve"> </w:t>
      </w:r>
      <w:r w:rsidR="00D119DD">
        <w:t xml:space="preserve">The </w:t>
      </w:r>
      <w:r w:rsidR="006B3598">
        <w:t>c</w:t>
      </w:r>
      <w:r w:rsidR="00B04988">
        <w:t xml:space="preserve">apital </w:t>
      </w:r>
      <w:r w:rsidR="006B3598">
        <w:t>a</w:t>
      </w:r>
      <w:r w:rsidR="00B04988">
        <w:t>ccounting</w:t>
      </w:r>
      <w:r w:rsidR="00D119DD">
        <w:t xml:space="preserve"> approach will help to </w:t>
      </w:r>
      <w:r w:rsidR="00D119DD" w:rsidRPr="008953CB">
        <w:t xml:space="preserve">systematically show how waterways contribute to </w:t>
      </w:r>
      <w:r w:rsidR="00D52A1E">
        <w:t>society</w:t>
      </w:r>
      <w:r w:rsidR="00D52A1E" w:rsidRPr="008953CB">
        <w:t xml:space="preserve"> </w:t>
      </w:r>
      <w:r w:rsidR="00D119DD" w:rsidRPr="008953CB">
        <w:t>wellbeing</w:t>
      </w:r>
      <w:r w:rsidR="00D119DD">
        <w:t xml:space="preserve"> through the services </w:t>
      </w:r>
      <w:r w:rsidR="00793D0D">
        <w:t>they provide</w:t>
      </w:r>
      <w:r w:rsidR="00D119DD">
        <w:t xml:space="preserve"> </w:t>
      </w:r>
      <w:r w:rsidR="00D52A1E">
        <w:t xml:space="preserve">for </w:t>
      </w:r>
      <w:r w:rsidR="00CD6A93">
        <w:t>people,</w:t>
      </w:r>
      <w:r w:rsidR="00D52A1E">
        <w:t xml:space="preserve"> </w:t>
      </w:r>
      <w:r w:rsidR="00CD6A93">
        <w:t>communities and the nation.</w:t>
      </w:r>
    </w:p>
    <w:p w14:paraId="6B259111" w14:textId="66D1D4D5" w:rsidR="000F2E86" w:rsidRDefault="00CD6A93" w:rsidP="00F56EA4">
      <w:r>
        <w:t xml:space="preserve">It </w:t>
      </w:r>
      <w:r w:rsidR="00793D0D">
        <w:t xml:space="preserve">will </w:t>
      </w:r>
      <w:r>
        <w:t xml:space="preserve">also </w:t>
      </w:r>
      <w:r w:rsidR="00793D0D">
        <w:t xml:space="preserve">aid </w:t>
      </w:r>
      <w:r w:rsidR="00FC2208">
        <w:t>in</w:t>
      </w:r>
      <w:r w:rsidR="00D119DD" w:rsidRPr="008238B3">
        <w:t xml:space="preserve"> identify</w:t>
      </w:r>
      <w:r w:rsidR="00FC2208">
        <w:t>ing</w:t>
      </w:r>
      <w:r w:rsidR="00D119DD">
        <w:t xml:space="preserve"> pressures and gaps </w:t>
      </w:r>
      <w:r>
        <w:t xml:space="preserve">in the funding required </w:t>
      </w:r>
      <w:r w:rsidR="00D119DD">
        <w:t xml:space="preserve">to maintain these assets in good condition </w:t>
      </w:r>
      <w:r w:rsidR="00793D0D">
        <w:t xml:space="preserve">so </w:t>
      </w:r>
      <w:r>
        <w:t xml:space="preserve">that their benefits are protected and </w:t>
      </w:r>
      <w:r w:rsidR="00793D0D">
        <w:t>future generations can also enjoy them.</w:t>
      </w:r>
      <w:r w:rsidR="00F56EA4">
        <w:t xml:space="preserve"> </w:t>
      </w:r>
    </w:p>
    <w:p w14:paraId="3C7649C5" w14:textId="77777777" w:rsidR="00F22C28" w:rsidRDefault="00F56EA4" w:rsidP="00F56EA4">
      <w:r>
        <w:lastRenderedPageBreak/>
        <w:t xml:space="preserve">Due to the overlap between </w:t>
      </w:r>
      <w:r w:rsidR="00707F0A">
        <w:t xml:space="preserve">different dimensions of value provided by waterways, </w:t>
      </w:r>
      <w:r w:rsidR="00543D47">
        <w:t xml:space="preserve">the value attributed to the </w:t>
      </w:r>
      <w:r w:rsidRPr="008238B3">
        <w:t>natural capital</w:t>
      </w:r>
      <w:r w:rsidR="00543D47">
        <w:t xml:space="preserve"> account may change in future iterations. </w:t>
      </w:r>
      <w:r w:rsidR="004E45AD">
        <w:t xml:space="preserve">For example, the overlap between the natural and culture &amp; heritage dimensions of waterways </w:t>
      </w:r>
      <w:r w:rsidR="00354797">
        <w:t xml:space="preserve">mean that it is likely that part of the recreation value included in the natural capital account </w:t>
      </w:r>
      <w:r w:rsidR="00EE4FB3">
        <w:t xml:space="preserve">will be reattributed to the culture </w:t>
      </w:r>
      <w:r w:rsidR="006610E5">
        <w:t>and</w:t>
      </w:r>
      <w:r w:rsidR="00EE4FB3">
        <w:t xml:space="preserve"> heritage account. </w:t>
      </w:r>
      <w:r w:rsidRPr="00F56EA4">
        <w:t xml:space="preserve">This is one of the </w:t>
      </w:r>
      <w:r w:rsidR="00F71382">
        <w:t>emerging</w:t>
      </w:r>
      <w:r w:rsidRPr="00F56EA4">
        <w:t xml:space="preserve"> results of collaborative work we are developing with academics at</w:t>
      </w:r>
      <w:r w:rsidR="000314FE">
        <w:t xml:space="preserve"> the Economic </w:t>
      </w:r>
      <w:r w:rsidR="00C10C5D">
        <w:t>Statistics Centre for Excellenc</w:t>
      </w:r>
      <w:r w:rsidR="00527251">
        <w:t>e</w:t>
      </w:r>
      <w:r w:rsidR="00266578">
        <w:t xml:space="preserve"> </w:t>
      </w:r>
      <w:r w:rsidRPr="00F56EA4">
        <w:t>and at University of Exeter.</w:t>
      </w:r>
      <w:r>
        <w:t xml:space="preserve">  </w:t>
      </w:r>
    </w:p>
    <w:p w14:paraId="1B745F35" w14:textId="5BAC2910" w:rsidR="00F22C28" w:rsidRDefault="00F22C28" w:rsidP="00F56EA4">
      <w:r>
        <w:t>We would like to thank AECOM for their support in the production of this report.</w:t>
      </w:r>
    </w:p>
    <w:p w14:paraId="7E72C3FD" w14:textId="46B4BF86" w:rsidR="001C2888" w:rsidRDefault="006D47C9" w:rsidP="00A35AA1">
      <w:pPr>
        <w:pStyle w:val="Heading1"/>
        <w:rPr>
          <w:kern w:val="2"/>
          <w:sz w:val="20"/>
          <w:szCs w:val="20"/>
          <w14:ligatures w14:val="standardContextual"/>
        </w:rPr>
      </w:pPr>
      <w:r>
        <w:t>Methodology</w:t>
      </w:r>
    </w:p>
    <w:p w14:paraId="14806693" w14:textId="213C506F" w:rsidR="006B0BE3" w:rsidRDefault="001F59C4" w:rsidP="00B80B0F">
      <w:r w:rsidRPr="006D30CE">
        <w:t>Natural capital accounts (NCA) have been in development at the national level in the UK by the Office for National Statistics (ONS) since 2011. At the organisation level, the Natural Capital Committee</w:t>
      </w:r>
      <w:r>
        <w:t xml:space="preserve"> developed guidance for </w:t>
      </w:r>
      <w:r w:rsidRPr="006D30CE">
        <w:t>Corporate Natural Capital Accounting (CNCA)</w:t>
      </w:r>
      <w:r>
        <w:t xml:space="preserve"> in 2015</w:t>
      </w:r>
      <w:r w:rsidR="005F7BFB">
        <w:t xml:space="preserve">. </w:t>
      </w:r>
      <w:r w:rsidRPr="00323F25">
        <w:t>The Trust’s natural capital account baseline adopts the CNCA approach</w:t>
      </w:r>
      <w:r w:rsidR="005F7BFB" w:rsidRPr="00B80B0F">
        <w:t>.</w:t>
      </w:r>
      <w:r w:rsidR="005F7BFB">
        <w:t xml:space="preserve"> </w:t>
      </w:r>
      <w:r w:rsidR="00146A1E">
        <w:t>This natural capital account baseline</w:t>
      </w:r>
      <w:r w:rsidR="00AB77D6">
        <w:t xml:space="preserve"> initially focuses on the development of the asset register, the physical flow account and the monetary flow account. In further iterations, </w:t>
      </w:r>
      <w:r w:rsidR="00486DF8">
        <w:t>we plan to</w:t>
      </w:r>
      <w:r w:rsidR="00AB77D6">
        <w:t xml:space="preserve"> </w:t>
      </w:r>
      <w:r w:rsidR="005F7BFB">
        <w:t xml:space="preserve">include the cost of maintenance </w:t>
      </w:r>
      <w:r w:rsidR="006B1B15">
        <w:t>to obtain a balance</w:t>
      </w:r>
      <w:r w:rsidR="00D22145">
        <w:t xml:space="preserve"> sheet</w:t>
      </w:r>
      <w:r w:rsidR="006B1B15">
        <w:t xml:space="preserve"> with the net natural capital value. </w:t>
      </w:r>
    </w:p>
    <w:p w14:paraId="631FFA3B" w14:textId="60186C01" w:rsidR="006B0BE3" w:rsidRDefault="006B0BE3" w:rsidP="00AB77D6">
      <w:pPr>
        <w:pStyle w:val="BodyText"/>
        <w:spacing w:line="240" w:lineRule="auto"/>
      </w:pPr>
      <w:r>
        <w:t xml:space="preserve">The geographic boundary for the natural capital account follows the areas included in the Trust’s Ecological Baseline. This </w:t>
      </w:r>
      <w:r w:rsidRPr="00474F1D">
        <w:t>includes:</w:t>
      </w:r>
    </w:p>
    <w:p w14:paraId="6BF743EF" w14:textId="26230084" w:rsidR="006B0BE3" w:rsidRDefault="006B0BE3" w:rsidP="00AB77D6">
      <w:pPr>
        <w:pStyle w:val="ListBullet"/>
        <w:numPr>
          <w:ilvl w:val="0"/>
          <w:numId w:val="25"/>
        </w:numPr>
        <w:spacing w:after="120"/>
        <w:rPr>
          <w:rFonts w:asciiTheme="minorHAnsi" w:hAnsiTheme="minorHAnsi"/>
          <w:color w:val="auto"/>
          <w:sz w:val="20"/>
          <w:szCs w:val="20"/>
        </w:rPr>
      </w:pPr>
      <w:r>
        <w:rPr>
          <w:rFonts w:asciiTheme="minorHAnsi" w:hAnsiTheme="minorHAnsi"/>
          <w:color w:val="auto"/>
          <w:sz w:val="20"/>
          <w:szCs w:val="20"/>
        </w:rPr>
        <w:t>L</w:t>
      </w:r>
      <w:r w:rsidRPr="006B0BE3">
        <w:rPr>
          <w:rFonts w:asciiTheme="minorHAnsi" w:hAnsiTheme="minorHAnsi"/>
          <w:color w:val="auto"/>
          <w:sz w:val="20"/>
          <w:szCs w:val="20"/>
        </w:rPr>
        <w:t>and owned by the Trust.</w:t>
      </w:r>
    </w:p>
    <w:p w14:paraId="311CC2DF" w14:textId="69455067" w:rsidR="006B0BE3" w:rsidRDefault="006B0BE3" w:rsidP="00AB77D6">
      <w:pPr>
        <w:pStyle w:val="ListBullet"/>
        <w:numPr>
          <w:ilvl w:val="0"/>
          <w:numId w:val="25"/>
        </w:numPr>
        <w:spacing w:after="120"/>
        <w:rPr>
          <w:rFonts w:asciiTheme="minorHAnsi" w:hAnsiTheme="minorHAnsi"/>
          <w:color w:val="auto"/>
          <w:sz w:val="20"/>
          <w:szCs w:val="20"/>
        </w:rPr>
      </w:pPr>
      <w:r>
        <w:rPr>
          <w:rFonts w:asciiTheme="minorHAnsi" w:hAnsiTheme="minorHAnsi"/>
          <w:color w:val="auto"/>
          <w:sz w:val="20"/>
          <w:szCs w:val="20"/>
        </w:rPr>
        <w:t>L</w:t>
      </w:r>
      <w:r w:rsidRPr="006B0BE3">
        <w:rPr>
          <w:rFonts w:asciiTheme="minorHAnsi" w:hAnsiTheme="minorHAnsi"/>
          <w:color w:val="auto"/>
          <w:sz w:val="20"/>
          <w:szCs w:val="20"/>
        </w:rPr>
        <w:t>and leased to others (owned by the Trust).</w:t>
      </w:r>
    </w:p>
    <w:p w14:paraId="0DE5A8AE" w14:textId="3ADB986E" w:rsidR="006B0BE3" w:rsidRPr="006B0BE3" w:rsidRDefault="006B0BE3" w:rsidP="00AB77D6">
      <w:pPr>
        <w:pStyle w:val="ListBullet"/>
        <w:numPr>
          <w:ilvl w:val="0"/>
          <w:numId w:val="25"/>
        </w:numPr>
        <w:spacing w:after="120"/>
        <w:rPr>
          <w:rFonts w:asciiTheme="minorHAnsi" w:hAnsiTheme="minorHAnsi"/>
          <w:color w:val="auto"/>
          <w:sz w:val="20"/>
          <w:szCs w:val="20"/>
        </w:rPr>
      </w:pPr>
      <w:r>
        <w:rPr>
          <w:rFonts w:asciiTheme="minorHAnsi" w:hAnsiTheme="minorHAnsi"/>
          <w:color w:val="auto"/>
          <w:sz w:val="20"/>
          <w:szCs w:val="20"/>
        </w:rPr>
        <w:t>L</w:t>
      </w:r>
      <w:r w:rsidRPr="006B0BE3">
        <w:rPr>
          <w:rFonts w:asciiTheme="minorHAnsi" w:hAnsiTheme="minorHAnsi"/>
          <w:color w:val="auto"/>
          <w:sz w:val="20"/>
          <w:szCs w:val="20"/>
        </w:rPr>
        <w:t>and leased by the Trust (under leasehold).</w:t>
      </w:r>
    </w:p>
    <w:p w14:paraId="3E84D2BC" w14:textId="63D00CAA" w:rsidR="006B0BE3" w:rsidRPr="006B0BE3" w:rsidRDefault="006B0BE3" w:rsidP="00A754CB">
      <w:pPr>
        <w:pStyle w:val="ListBullet"/>
        <w:numPr>
          <w:ilvl w:val="0"/>
          <w:numId w:val="25"/>
        </w:numPr>
        <w:spacing w:after="120"/>
        <w:ind w:left="714" w:hanging="357"/>
        <w:rPr>
          <w:rFonts w:asciiTheme="minorHAnsi" w:hAnsiTheme="minorHAnsi"/>
          <w:color w:val="auto"/>
          <w:sz w:val="20"/>
          <w:szCs w:val="20"/>
        </w:rPr>
      </w:pPr>
      <w:r>
        <w:rPr>
          <w:rFonts w:asciiTheme="minorHAnsi" w:hAnsiTheme="minorHAnsi"/>
          <w:color w:val="auto"/>
          <w:sz w:val="20"/>
          <w:szCs w:val="20"/>
        </w:rPr>
        <w:t>J</w:t>
      </w:r>
      <w:r w:rsidRPr="006B0BE3">
        <w:rPr>
          <w:rFonts w:asciiTheme="minorHAnsi" w:hAnsiTheme="minorHAnsi"/>
          <w:color w:val="auto"/>
          <w:sz w:val="20"/>
          <w:szCs w:val="20"/>
        </w:rPr>
        <w:t>oint ventures if the Trust owns or leases land as part of this arrangement.</w:t>
      </w:r>
    </w:p>
    <w:p w14:paraId="4044F815" w14:textId="1ADED8F5" w:rsidR="006E2827" w:rsidRDefault="006E2827">
      <w:pPr>
        <w:rPr>
          <w:kern w:val="2"/>
          <w14:ligatures w14:val="standardContextual"/>
        </w:rPr>
      </w:pPr>
      <w:r>
        <w:t>The Trust may contribute to the overall impact on habitats outside of this boundary. However, this is not measured in the baseline account.</w:t>
      </w:r>
    </w:p>
    <w:p w14:paraId="7A617B97" w14:textId="45ABEDA5" w:rsidR="00311599" w:rsidRDefault="00311599" w:rsidP="00B119D2">
      <w:r w:rsidRPr="00311599">
        <w:t>A biodiversity footprint mapping and survey of the Trust’s network was undertaken in</w:t>
      </w:r>
      <w:r w:rsidR="006317CC">
        <w:t xml:space="preserve"> 2023</w:t>
      </w:r>
      <w:r w:rsidRPr="00311599">
        <w:t xml:space="preserve"> to establish a comprehensive Ecological Baseline aligned with the Defra Biodiversity Metric. This combined high-resolution spatial mapping of habitats across all Trust landholdings</w:t>
      </w:r>
      <w:r w:rsidR="00371BC2">
        <w:t xml:space="preserve"> - </w:t>
      </w:r>
      <w:r w:rsidRPr="00311599">
        <w:t>drawing on national datasets</w:t>
      </w:r>
      <w:r w:rsidR="00371BC2">
        <w:t xml:space="preserve"> - </w:t>
      </w:r>
      <w:r w:rsidRPr="00311599">
        <w:t>with a programme of stratified random ground</w:t>
      </w:r>
      <w:r w:rsidRPr="00311599">
        <w:noBreakHyphen/>
        <w:t>truthing surveys to verify habitat type, location, and condition. Field survey data were then used to calibrate statistical models to predict habitat condition across the full estate, producing a consistent, network-wide baseline of habitat extent and quality.</w:t>
      </w:r>
      <w:r w:rsidR="005F3992" w:rsidRPr="005F3992">
        <w:t xml:space="preserve"> </w:t>
      </w:r>
      <w:r w:rsidR="005F3992" w:rsidRPr="00710296">
        <w:t>Th</w:t>
      </w:r>
      <w:r w:rsidR="005F3992">
        <w:t>e</w:t>
      </w:r>
      <w:r w:rsidR="005F3992" w:rsidRPr="00710296">
        <w:t xml:space="preserve"> </w:t>
      </w:r>
      <w:r w:rsidR="005F3992">
        <w:t>Ecological Baseline</w:t>
      </w:r>
      <w:r w:rsidR="005F3992" w:rsidRPr="00710296">
        <w:t xml:space="preserve"> </w:t>
      </w:r>
      <w:r w:rsidR="005F3992">
        <w:t xml:space="preserve">has </w:t>
      </w:r>
      <w:r w:rsidR="005F3992" w:rsidRPr="00710296">
        <w:t>provide</w:t>
      </w:r>
      <w:r w:rsidR="005F3992">
        <w:t>d</w:t>
      </w:r>
      <w:r w:rsidR="005F3992" w:rsidRPr="00710296">
        <w:t xml:space="preserve"> a foundation for the </w:t>
      </w:r>
      <w:r w:rsidR="005F3992">
        <w:t xml:space="preserve">development of the </w:t>
      </w:r>
      <w:r w:rsidR="005F3992" w:rsidRPr="00710296">
        <w:t>natural capital accounts baseline</w:t>
      </w:r>
      <w:r w:rsidR="005F3992">
        <w:t xml:space="preserve"> asset register</w:t>
      </w:r>
      <w:r w:rsidR="005F3992" w:rsidRPr="00710296">
        <w:t>.</w:t>
      </w:r>
    </w:p>
    <w:p w14:paraId="16907C1D" w14:textId="1E9B8743" w:rsidR="0036689B" w:rsidRDefault="003C3A73" w:rsidP="00B119D2">
      <w:r>
        <w:t xml:space="preserve">The findings are reported at a national and regional level. The Trust’s regional boundaries are </w:t>
      </w:r>
      <w:r w:rsidR="005F7BFB">
        <w:t>applied for</w:t>
      </w:r>
      <w:r>
        <w:t xml:space="preserve"> the latter. </w:t>
      </w:r>
    </w:p>
    <w:p w14:paraId="4E4C417A" w14:textId="12C214FD" w:rsidR="00D853E9" w:rsidRDefault="003C3A73" w:rsidP="00BC406E">
      <w:pPr>
        <w:spacing w:after="0"/>
      </w:pPr>
      <w:r>
        <w:t>The reporting timeline is the financial year April 2023 – March 2024.</w:t>
      </w:r>
      <w:r w:rsidR="005F7BFB">
        <w:t xml:space="preserve"> The accounts include the annual value of the ecosystem service flows in 2023. In line with </w:t>
      </w:r>
      <w:r w:rsidR="00726642">
        <w:t>natural capital</w:t>
      </w:r>
      <w:r w:rsidR="005F7BFB">
        <w:t xml:space="preserve"> accounting guidance, a 100-year period</w:t>
      </w:r>
      <w:r w:rsidR="00D853E9">
        <w:t xml:space="preserve"> is applied</w:t>
      </w:r>
      <w:r w:rsidR="005F7BFB">
        <w:t xml:space="preserve"> </w:t>
      </w:r>
      <w:r w:rsidR="00EF0456">
        <w:t xml:space="preserve">to quantify </w:t>
      </w:r>
      <w:r w:rsidR="005F7BFB">
        <w:t xml:space="preserve">the present value of the flow of ecosystem services. </w:t>
      </w:r>
      <w:r w:rsidR="00D853E9">
        <w:t>Future values</w:t>
      </w:r>
      <w:r w:rsidR="00BC406E">
        <w:t xml:space="preserve"> </w:t>
      </w:r>
      <w:r w:rsidR="00D853E9">
        <w:t>are discounted according to recommended discount rates from the HM Treasury Green Book</w:t>
      </w:r>
      <w:r w:rsidR="00D853E9">
        <w:rPr>
          <w:rStyle w:val="FootnoteReference"/>
        </w:rPr>
        <w:footnoteReference w:id="1"/>
      </w:r>
      <w:r w:rsidR="00D853E9">
        <w:t>.</w:t>
      </w:r>
    </w:p>
    <w:p w14:paraId="70AD10B8" w14:textId="77777777" w:rsidR="00BC406E" w:rsidRDefault="00BC406E" w:rsidP="00BC406E">
      <w:pPr>
        <w:spacing w:after="0"/>
      </w:pPr>
    </w:p>
    <w:p w14:paraId="105D92B9" w14:textId="614279EC" w:rsidR="0036689B" w:rsidRPr="008C77AA" w:rsidRDefault="0036689B" w:rsidP="00E05CC2">
      <w:r w:rsidRPr="008C77AA">
        <w:t>The price year is the year to which all monetary values are standardi</w:t>
      </w:r>
      <w:r>
        <w:t>s</w:t>
      </w:r>
      <w:r w:rsidRPr="008C77AA">
        <w:t>ed when calculating the value of natural capital</w:t>
      </w:r>
      <w:r>
        <w:t xml:space="preserve"> (so that all values are reported in real terms)</w:t>
      </w:r>
      <w:r w:rsidRPr="008C77AA">
        <w:t xml:space="preserve">. </w:t>
      </w:r>
      <w:r>
        <w:t>The</w:t>
      </w:r>
      <w:r w:rsidRPr="008C77AA">
        <w:t xml:space="preserve"> </w:t>
      </w:r>
      <w:r w:rsidR="000D52B8">
        <w:t>price</w:t>
      </w:r>
      <w:r w:rsidRPr="008C77AA">
        <w:t xml:space="preserve"> year </w:t>
      </w:r>
      <w:r>
        <w:t>is chosen to be</w:t>
      </w:r>
      <w:r w:rsidRPr="008C77AA">
        <w:t xml:space="preserve"> 202</w:t>
      </w:r>
      <w:r>
        <w:t>3</w:t>
      </w:r>
      <w:r w:rsidRPr="008C77AA">
        <w:t xml:space="preserve"> </w:t>
      </w:r>
      <w:r>
        <w:t xml:space="preserve">to align with the 2023 </w:t>
      </w:r>
      <w:r w:rsidR="00BB243F">
        <w:t>Ecological B</w:t>
      </w:r>
      <w:r>
        <w:t>aseline</w:t>
      </w:r>
      <w:r w:rsidRPr="008C77AA">
        <w:t xml:space="preserve">. All prices </w:t>
      </w:r>
      <w:r>
        <w:t>are</w:t>
      </w:r>
      <w:r w:rsidRPr="008C77AA">
        <w:t xml:space="preserve"> adjusted using the </w:t>
      </w:r>
      <w:r>
        <w:t xml:space="preserve">GDP deflator </w:t>
      </w:r>
      <w:r w:rsidRPr="008C77AA">
        <w:t>index to reflect their equivalent in 202</w:t>
      </w:r>
      <w:r>
        <w:t>3</w:t>
      </w:r>
      <w:r w:rsidRPr="008C77AA">
        <w:t>.</w:t>
      </w:r>
    </w:p>
    <w:p w14:paraId="43F5BB1D" w14:textId="546C6527" w:rsidR="00455AE3" w:rsidRPr="0032460F" w:rsidRDefault="0036689B" w:rsidP="0036689B">
      <w:pPr>
        <w:pStyle w:val="BodyText"/>
        <w:rPr>
          <w:szCs w:val="20"/>
        </w:rPr>
      </w:pPr>
      <w:r w:rsidRPr="004826E5">
        <w:rPr>
          <w:szCs w:val="20"/>
        </w:rPr>
        <w:t xml:space="preserve">The ONS Principles of </w:t>
      </w:r>
      <w:r w:rsidR="00A06A6C">
        <w:rPr>
          <w:szCs w:val="20"/>
        </w:rPr>
        <w:t>N</w:t>
      </w:r>
      <w:r w:rsidRPr="004826E5">
        <w:rPr>
          <w:szCs w:val="20"/>
        </w:rPr>
        <w:t xml:space="preserve">atural </w:t>
      </w:r>
      <w:r w:rsidR="00A06A6C">
        <w:rPr>
          <w:szCs w:val="20"/>
        </w:rPr>
        <w:t>C</w:t>
      </w:r>
      <w:r w:rsidRPr="004826E5">
        <w:rPr>
          <w:szCs w:val="20"/>
        </w:rPr>
        <w:t xml:space="preserve">apital </w:t>
      </w:r>
      <w:r w:rsidR="00A06A6C">
        <w:rPr>
          <w:szCs w:val="20"/>
        </w:rPr>
        <w:t>Ac</w:t>
      </w:r>
      <w:r w:rsidRPr="004826E5">
        <w:rPr>
          <w:szCs w:val="20"/>
        </w:rPr>
        <w:t xml:space="preserve">counting </w:t>
      </w:r>
      <w:r w:rsidR="0025078F">
        <w:rPr>
          <w:szCs w:val="20"/>
        </w:rPr>
        <w:t>(2017</w:t>
      </w:r>
      <w:r w:rsidR="00C8695A">
        <w:rPr>
          <w:szCs w:val="20"/>
        </w:rPr>
        <w:t>a</w:t>
      </w:r>
      <w:r w:rsidR="0025078F">
        <w:rPr>
          <w:szCs w:val="20"/>
        </w:rPr>
        <w:t>)</w:t>
      </w:r>
      <w:r w:rsidRPr="004826E5">
        <w:rPr>
          <w:szCs w:val="20"/>
        </w:rPr>
        <w:t xml:space="preserve"> paper recommends the use of exchange values to be consistent with national account</w:t>
      </w:r>
      <w:r w:rsidR="0028291A">
        <w:rPr>
          <w:szCs w:val="20"/>
        </w:rPr>
        <w:t>s</w:t>
      </w:r>
      <w:r w:rsidRPr="004826E5">
        <w:rPr>
          <w:szCs w:val="20"/>
        </w:rPr>
        <w:t xml:space="preserve"> </w:t>
      </w:r>
      <w:r w:rsidR="0028291A">
        <w:rPr>
          <w:szCs w:val="20"/>
        </w:rPr>
        <w:t>(</w:t>
      </w:r>
      <w:r w:rsidRPr="004826E5">
        <w:rPr>
          <w:szCs w:val="20"/>
        </w:rPr>
        <w:t>such as the ONS natural capital accounts</w:t>
      </w:r>
      <w:r w:rsidR="0028291A">
        <w:rPr>
          <w:szCs w:val="20"/>
        </w:rPr>
        <w:t>)</w:t>
      </w:r>
      <w:r w:rsidRPr="004826E5">
        <w:rPr>
          <w:szCs w:val="20"/>
        </w:rPr>
        <w:t xml:space="preserve">. </w:t>
      </w:r>
      <w:r>
        <w:rPr>
          <w:szCs w:val="20"/>
        </w:rPr>
        <w:t xml:space="preserve">However, </w:t>
      </w:r>
      <w:r w:rsidRPr="004826E5">
        <w:rPr>
          <w:szCs w:val="20"/>
        </w:rPr>
        <w:t>Defra ENCA</w:t>
      </w:r>
      <w:r w:rsidR="00ED5A38">
        <w:rPr>
          <w:szCs w:val="20"/>
        </w:rPr>
        <w:t xml:space="preserve"> (2023)</w:t>
      </w:r>
      <w:r w:rsidRPr="004826E5">
        <w:rPr>
          <w:szCs w:val="20"/>
        </w:rPr>
        <w:t xml:space="preserve"> guidance highlight</w:t>
      </w:r>
      <w:r>
        <w:rPr>
          <w:szCs w:val="20"/>
        </w:rPr>
        <w:t>s</w:t>
      </w:r>
      <w:r w:rsidRPr="004826E5">
        <w:rPr>
          <w:szCs w:val="20"/>
        </w:rPr>
        <w:t xml:space="preserve"> that </w:t>
      </w:r>
      <w:r>
        <w:rPr>
          <w:szCs w:val="20"/>
        </w:rPr>
        <w:t xml:space="preserve">the </w:t>
      </w:r>
      <w:r w:rsidRPr="004826E5">
        <w:rPr>
          <w:szCs w:val="20"/>
        </w:rPr>
        <w:t>use of exchange values</w:t>
      </w:r>
      <w:r>
        <w:rPr>
          <w:szCs w:val="20"/>
        </w:rPr>
        <w:t xml:space="preserve"> is</w:t>
      </w:r>
      <w:r w:rsidRPr="004826E5">
        <w:rPr>
          <w:szCs w:val="20"/>
        </w:rPr>
        <w:t xml:space="preserve"> less essential for natural capital accounting at a corporate or local level and welfare values are typically used where this is the </w:t>
      </w:r>
      <w:r>
        <w:rPr>
          <w:szCs w:val="20"/>
        </w:rPr>
        <w:lastRenderedPageBreak/>
        <w:t>appropriate</w:t>
      </w:r>
      <w:r w:rsidRPr="004826E5">
        <w:rPr>
          <w:szCs w:val="20"/>
        </w:rPr>
        <w:t xml:space="preserve"> method.</w:t>
      </w:r>
      <w:r>
        <w:rPr>
          <w:szCs w:val="20"/>
        </w:rPr>
        <w:t xml:space="preserve"> </w:t>
      </w:r>
      <w:r w:rsidR="008B5404">
        <w:rPr>
          <w:szCs w:val="20"/>
        </w:rPr>
        <w:t>Welfare values are</w:t>
      </w:r>
      <w:r w:rsidR="000E5A33">
        <w:rPr>
          <w:szCs w:val="20"/>
        </w:rPr>
        <w:t xml:space="preserve"> more suitable to cap</w:t>
      </w:r>
      <w:r w:rsidR="004F576D">
        <w:rPr>
          <w:szCs w:val="20"/>
        </w:rPr>
        <w:t>ture social benefits</w:t>
      </w:r>
      <w:r w:rsidR="000E5A33">
        <w:rPr>
          <w:szCs w:val="20"/>
        </w:rPr>
        <w:t xml:space="preserve"> and public good components of canals.</w:t>
      </w:r>
    </w:p>
    <w:p w14:paraId="23BAA5C1" w14:textId="77777777" w:rsidR="000631AD" w:rsidRDefault="000631AD">
      <w:pPr>
        <w:pStyle w:val="BodyText"/>
        <w:rPr>
          <w:kern w:val="2"/>
          <w:szCs w:val="20"/>
          <w14:ligatures w14:val="standardContextual"/>
        </w:rPr>
      </w:pPr>
      <w:r>
        <w:t>In cases where we could choose between valuation methods, we followed the hierarchy of economic valuation techniques for ecosystem services as defined by the UN’s System of Environmental Economic Accounting – Ecosystem Accounting (SEEA EA) (UN et al., 2025; Ferrini et al., 2025). This meant that we applied the following prioritisation of methodology types:</w:t>
      </w:r>
    </w:p>
    <w:p w14:paraId="73809F37" w14:textId="77777777" w:rsidR="000631AD" w:rsidRDefault="000631AD" w:rsidP="000631AD">
      <w:pPr>
        <w:pStyle w:val="BodyText"/>
        <w:numPr>
          <w:ilvl w:val="0"/>
          <w:numId w:val="33"/>
        </w:numPr>
        <w:rPr>
          <w:kern w:val="2"/>
          <w:szCs w:val="20"/>
          <w14:ligatures w14:val="standardContextual"/>
        </w:rPr>
      </w:pPr>
      <w:r>
        <w:t>Where the price is directly observable.</w:t>
      </w:r>
    </w:p>
    <w:p w14:paraId="51249D00" w14:textId="6F3DE3F3" w:rsidR="008B3AF6" w:rsidRDefault="008B3AF6" w:rsidP="00D2263D">
      <w:pPr>
        <w:pStyle w:val="BodyText"/>
        <w:numPr>
          <w:ilvl w:val="0"/>
          <w:numId w:val="33"/>
        </w:numPr>
      </w:pPr>
      <w:r>
        <w:t>W</w:t>
      </w:r>
      <w:r w:rsidR="00DC4D22">
        <w:t xml:space="preserve">here the price can </w:t>
      </w:r>
      <w:r w:rsidR="005F2FFE">
        <w:t xml:space="preserve">be </w:t>
      </w:r>
      <w:r w:rsidR="00DC4D22">
        <w:t>obtained from similar goods or services</w:t>
      </w:r>
      <w:r w:rsidR="00655A74">
        <w:t>.</w:t>
      </w:r>
    </w:p>
    <w:p w14:paraId="7EAF1768" w14:textId="4D93C39F" w:rsidR="008B3AF6" w:rsidRDefault="008B3AF6" w:rsidP="00D2263D">
      <w:pPr>
        <w:pStyle w:val="BodyText"/>
        <w:numPr>
          <w:ilvl w:val="0"/>
          <w:numId w:val="33"/>
        </w:numPr>
      </w:pPr>
      <w:r>
        <w:t>W</w:t>
      </w:r>
      <w:r w:rsidR="00DC4D22">
        <w:t>here the price is embe</w:t>
      </w:r>
      <w:r w:rsidR="005F2FFE">
        <w:t>dded</w:t>
      </w:r>
      <w:r w:rsidR="00DC4D22">
        <w:t xml:space="preserve"> in an economic transaction</w:t>
      </w:r>
      <w:r w:rsidR="00E01D81">
        <w:t xml:space="preserve"> </w:t>
      </w:r>
      <w:r w:rsidR="00EE1032">
        <w:t>(for example resource rent techniques or hedonic methods)</w:t>
      </w:r>
      <w:r w:rsidR="00655A74">
        <w:t>.</w:t>
      </w:r>
    </w:p>
    <w:p w14:paraId="06B4B235" w14:textId="01F3839E" w:rsidR="00655A74" w:rsidRDefault="00655A74" w:rsidP="00D2263D">
      <w:pPr>
        <w:pStyle w:val="BodyText"/>
        <w:numPr>
          <w:ilvl w:val="0"/>
          <w:numId w:val="33"/>
        </w:numPr>
      </w:pPr>
      <w:r>
        <w:t>B</w:t>
      </w:r>
      <w:r w:rsidR="00DC4D22">
        <w:t xml:space="preserve">ased on costs for related goods </w:t>
      </w:r>
      <w:r w:rsidR="005F2FFE">
        <w:t>or</w:t>
      </w:r>
      <w:r w:rsidR="00DC4D22">
        <w:t xml:space="preserve"> services</w:t>
      </w:r>
      <w:r w:rsidR="00647E0E">
        <w:t xml:space="preserve"> (for example travel cost methods</w:t>
      </w:r>
      <w:r w:rsidR="00AE73EA">
        <w:t xml:space="preserve"> or </w:t>
      </w:r>
      <w:r w:rsidR="00CA69EE">
        <w:t>cost-based approaches to meet an outcome</w:t>
      </w:r>
      <w:r w:rsidR="00647E0E">
        <w:t>)</w:t>
      </w:r>
      <w:r>
        <w:t>.</w:t>
      </w:r>
    </w:p>
    <w:p w14:paraId="667DE4BD" w14:textId="4BFFB20D" w:rsidR="00655A74" w:rsidRDefault="00655A74" w:rsidP="00D2263D">
      <w:pPr>
        <w:pStyle w:val="BodyText"/>
        <w:numPr>
          <w:ilvl w:val="0"/>
          <w:numId w:val="33"/>
        </w:numPr>
      </w:pPr>
      <w:r>
        <w:t>T</w:t>
      </w:r>
      <w:r w:rsidR="00DC4D22">
        <w:t xml:space="preserve">hat depend on expected </w:t>
      </w:r>
      <w:r w:rsidR="005F2FFE">
        <w:t>expenditures</w:t>
      </w:r>
      <w:r w:rsidR="006D35B1">
        <w:t xml:space="preserve"> (for instance avoided costs or replacements costs)</w:t>
      </w:r>
      <w:r>
        <w:t>.</w:t>
      </w:r>
    </w:p>
    <w:p w14:paraId="30A0A6F0" w14:textId="719F6439" w:rsidR="000E6DE6" w:rsidRDefault="00655A74" w:rsidP="002952C0">
      <w:pPr>
        <w:pStyle w:val="BodyText"/>
        <w:numPr>
          <w:ilvl w:val="0"/>
          <w:numId w:val="33"/>
        </w:numPr>
      </w:pPr>
      <w:r>
        <w:t>O</w:t>
      </w:r>
      <w:r w:rsidR="005F2FFE">
        <w:t xml:space="preserve">ther types of valuation methods. </w:t>
      </w:r>
    </w:p>
    <w:p w14:paraId="5592E412" w14:textId="09EC8E48" w:rsidR="0036689B" w:rsidRPr="001143DA" w:rsidRDefault="0036689B" w:rsidP="0036689B">
      <w:pPr>
        <w:pStyle w:val="BodyText"/>
      </w:pPr>
      <w:r>
        <w:t>An overview of valuation methods that are applied in the</w:t>
      </w:r>
      <w:r w:rsidR="005F2FFE">
        <w:t xml:space="preserve"> </w:t>
      </w:r>
      <w:r w:rsidR="00854A4A">
        <w:t>Trust’s</w:t>
      </w:r>
      <w:r>
        <w:t xml:space="preserve"> natural capital account is provided below</w:t>
      </w:r>
      <w:r w:rsidR="005B03A9">
        <w:t xml:space="preserve">. Please see Table 5 in the Appendix for </w:t>
      </w:r>
      <w:r w:rsidR="006127E1">
        <w:t xml:space="preserve">the methodology used for each ecosystem service. </w:t>
      </w:r>
    </w:p>
    <w:p w14:paraId="7F447B0D" w14:textId="6BBBE8F3" w:rsidR="0036689B" w:rsidRPr="0036689B" w:rsidRDefault="0036689B" w:rsidP="00776D86">
      <w:pPr>
        <w:pStyle w:val="ListBullet"/>
        <w:numPr>
          <w:ilvl w:val="0"/>
          <w:numId w:val="27"/>
        </w:numPr>
        <w:spacing w:after="120" w:line="240" w:lineRule="atLeast"/>
        <w:rPr>
          <w:rFonts w:asciiTheme="minorHAnsi" w:hAnsiTheme="minorHAnsi"/>
          <w:color w:val="auto"/>
          <w:sz w:val="20"/>
          <w:szCs w:val="20"/>
        </w:rPr>
      </w:pPr>
      <w:r w:rsidRPr="0036689B">
        <w:rPr>
          <w:rFonts w:asciiTheme="minorHAnsi" w:hAnsiTheme="minorHAnsi"/>
          <w:b/>
          <w:bCs/>
          <w:color w:val="auto"/>
          <w:sz w:val="20"/>
          <w:szCs w:val="20"/>
        </w:rPr>
        <w:t xml:space="preserve">Market prices/ resource rents: </w:t>
      </w:r>
      <w:r w:rsidR="00470867">
        <w:rPr>
          <w:rFonts w:asciiTheme="minorHAnsi" w:hAnsiTheme="minorHAnsi"/>
          <w:b/>
          <w:bCs/>
          <w:color w:val="auto"/>
          <w:sz w:val="20"/>
          <w:szCs w:val="20"/>
        </w:rPr>
        <w:t>a</w:t>
      </w:r>
      <w:r w:rsidRPr="0036689B">
        <w:rPr>
          <w:rFonts w:asciiTheme="minorHAnsi" w:hAnsiTheme="minorHAnsi"/>
          <w:color w:val="auto"/>
          <w:sz w:val="20"/>
          <w:szCs w:val="20"/>
        </w:rPr>
        <w:t>pplie</w:t>
      </w:r>
      <w:r w:rsidR="00DA7B59">
        <w:rPr>
          <w:rFonts w:asciiTheme="minorHAnsi" w:hAnsiTheme="minorHAnsi"/>
          <w:color w:val="auto"/>
          <w:sz w:val="20"/>
          <w:szCs w:val="20"/>
        </w:rPr>
        <w:t>s</w:t>
      </w:r>
      <w:r w:rsidRPr="0036689B">
        <w:rPr>
          <w:rFonts w:asciiTheme="minorHAnsi" w:hAnsiTheme="minorHAnsi"/>
          <w:color w:val="auto"/>
          <w:sz w:val="20"/>
          <w:szCs w:val="20"/>
        </w:rPr>
        <w:t xml:space="preserve"> to goods and services that are traded, such as the market value of timber. In natural capital accounting, market prices can inform the calculation of resource rent which reflects the proportion of value attributable to the natural asset. </w:t>
      </w:r>
      <w:r w:rsidR="00A94695">
        <w:rPr>
          <w:rFonts w:asciiTheme="minorHAnsi" w:hAnsiTheme="minorHAnsi"/>
          <w:color w:val="auto"/>
          <w:sz w:val="20"/>
          <w:szCs w:val="20"/>
        </w:rPr>
        <w:t xml:space="preserve">The resource rent approach has been applied to value </w:t>
      </w:r>
      <w:r w:rsidR="006E6835">
        <w:rPr>
          <w:rFonts w:asciiTheme="minorHAnsi" w:hAnsiTheme="minorHAnsi"/>
          <w:color w:val="auto"/>
          <w:sz w:val="20"/>
          <w:szCs w:val="20"/>
        </w:rPr>
        <w:t xml:space="preserve">water provisioning and </w:t>
      </w:r>
      <w:r w:rsidR="00710AE6">
        <w:rPr>
          <w:rFonts w:asciiTheme="minorHAnsi" w:hAnsiTheme="minorHAnsi"/>
          <w:color w:val="auto"/>
          <w:sz w:val="20"/>
          <w:szCs w:val="20"/>
        </w:rPr>
        <w:t>to renewable energy</w:t>
      </w:r>
      <w:r w:rsidR="003D437F">
        <w:rPr>
          <w:rFonts w:asciiTheme="minorHAnsi" w:hAnsiTheme="minorHAnsi"/>
          <w:color w:val="auto"/>
          <w:sz w:val="20"/>
          <w:szCs w:val="20"/>
        </w:rPr>
        <w:t xml:space="preserve"> provisioning services</w:t>
      </w:r>
      <w:r w:rsidR="00140305">
        <w:rPr>
          <w:rFonts w:asciiTheme="minorHAnsi" w:hAnsiTheme="minorHAnsi"/>
          <w:color w:val="auto"/>
          <w:sz w:val="20"/>
          <w:szCs w:val="20"/>
        </w:rPr>
        <w:t>.</w:t>
      </w:r>
    </w:p>
    <w:p w14:paraId="01318CE0" w14:textId="7EB1D855" w:rsidR="0036689B" w:rsidRPr="0036689B" w:rsidRDefault="0036689B" w:rsidP="00776D86">
      <w:pPr>
        <w:pStyle w:val="ListBullet"/>
        <w:numPr>
          <w:ilvl w:val="0"/>
          <w:numId w:val="27"/>
        </w:numPr>
        <w:spacing w:after="120" w:line="240" w:lineRule="atLeast"/>
        <w:rPr>
          <w:rFonts w:asciiTheme="minorHAnsi" w:hAnsiTheme="minorHAnsi"/>
          <w:color w:val="auto"/>
          <w:sz w:val="20"/>
          <w:szCs w:val="20"/>
        </w:rPr>
      </w:pPr>
      <w:r w:rsidRPr="0036689B">
        <w:rPr>
          <w:rFonts w:asciiTheme="minorHAnsi" w:hAnsiTheme="minorHAnsi"/>
          <w:b/>
          <w:bCs/>
          <w:color w:val="auto"/>
          <w:sz w:val="20"/>
          <w:szCs w:val="20"/>
        </w:rPr>
        <w:t xml:space="preserve">Hedonic pricing: </w:t>
      </w:r>
      <w:r w:rsidRPr="0036689B">
        <w:rPr>
          <w:rFonts w:asciiTheme="minorHAnsi" w:hAnsiTheme="minorHAnsi"/>
          <w:color w:val="auto"/>
          <w:sz w:val="20"/>
          <w:szCs w:val="20"/>
        </w:rPr>
        <w:t xml:space="preserve">environmental characteristics (such as a pleasant view) are reflected in property prices. The value of the environmental component can be revealed by isolating the contribution of the environmental characteristic on the price of the property. </w:t>
      </w:r>
      <w:r w:rsidR="00140305">
        <w:rPr>
          <w:rFonts w:asciiTheme="minorHAnsi" w:hAnsiTheme="minorHAnsi"/>
          <w:color w:val="auto"/>
          <w:sz w:val="20"/>
          <w:szCs w:val="20"/>
        </w:rPr>
        <w:t xml:space="preserve">This method has been applied to value </w:t>
      </w:r>
      <w:r w:rsidR="00F20100">
        <w:rPr>
          <w:rFonts w:asciiTheme="minorHAnsi" w:hAnsiTheme="minorHAnsi"/>
          <w:color w:val="auto"/>
          <w:sz w:val="20"/>
          <w:szCs w:val="20"/>
        </w:rPr>
        <w:t xml:space="preserve">the aesthetic </w:t>
      </w:r>
      <w:r w:rsidR="0074064C">
        <w:rPr>
          <w:rFonts w:asciiTheme="minorHAnsi" w:hAnsiTheme="minorHAnsi"/>
          <w:color w:val="auto"/>
          <w:sz w:val="20"/>
          <w:szCs w:val="20"/>
        </w:rPr>
        <w:t xml:space="preserve">and recreation </w:t>
      </w:r>
      <w:r w:rsidR="00776D86">
        <w:rPr>
          <w:rFonts w:asciiTheme="minorHAnsi" w:hAnsiTheme="minorHAnsi"/>
          <w:color w:val="auto"/>
          <w:sz w:val="20"/>
          <w:szCs w:val="20"/>
        </w:rPr>
        <w:t>service</w:t>
      </w:r>
      <w:r w:rsidR="003119C5">
        <w:rPr>
          <w:rFonts w:asciiTheme="minorHAnsi" w:hAnsiTheme="minorHAnsi"/>
          <w:color w:val="auto"/>
          <w:sz w:val="20"/>
          <w:szCs w:val="20"/>
        </w:rPr>
        <w:t>.</w:t>
      </w:r>
    </w:p>
    <w:p w14:paraId="64F61742" w14:textId="26771A9E" w:rsidR="0036689B" w:rsidRPr="0036689B" w:rsidRDefault="0036689B" w:rsidP="00776D86">
      <w:pPr>
        <w:pStyle w:val="ListBullet"/>
        <w:numPr>
          <w:ilvl w:val="0"/>
          <w:numId w:val="27"/>
        </w:numPr>
        <w:spacing w:after="120" w:line="240" w:lineRule="atLeast"/>
        <w:rPr>
          <w:rFonts w:asciiTheme="minorHAnsi" w:hAnsiTheme="minorHAnsi"/>
          <w:color w:val="auto"/>
          <w:sz w:val="20"/>
          <w:szCs w:val="20"/>
        </w:rPr>
      </w:pPr>
      <w:r w:rsidRPr="0036689B">
        <w:rPr>
          <w:rFonts w:asciiTheme="minorHAnsi" w:hAnsiTheme="minorHAnsi"/>
          <w:b/>
          <w:bCs/>
          <w:color w:val="auto"/>
          <w:sz w:val="20"/>
          <w:szCs w:val="20"/>
        </w:rPr>
        <w:t>Travel cost method:</w:t>
      </w:r>
      <w:r w:rsidRPr="0036689B">
        <w:rPr>
          <w:rFonts w:asciiTheme="minorHAnsi" w:hAnsiTheme="minorHAnsi"/>
          <w:color w:val="auto"/>
          <w:sz w:val="20"/>
          <w:szCs w:val="20"/>
        </w:rPr>
        <w:t xml:space="preserve"> uses the costs incurred by individuals taking a trip to a recreation site (</w:t>
      </w:r>
      <w:r w:rsidR="00DE6FCC">
        <w:rPr>
          <w:rFonts w:asciiTheme="minorHAnsi" w:hAnsiTheme="minorHAnsi"/>
          <w:color w:val="auto"/>
          <w:sz w:val="20"/>
          <w:szCs w:val="20"/>
        </w:rPr>
        <w:t>transport</w:t>
      </w:r>
      <w:r w:rsidRPr="0036689B">
        <w:rPr>
          <w:rFonts w:asciiTheme="minorHAnsi" w:hAnsiTheme="minorHAnsi"/>
          <w:color w:val="auto"/>
          <w:sz w:val="20"/>
          <w:szCs w:val="20"/>
        </w:rPr>
        <w:t xml:space="preserve"> costs, entry fees, opportunity cost of time) as a proxy for the recreational value of that site. </w:t>
      </w:r>
      <w:r w:rsidR="00F20100">
        <w:rPr>
          <w:rFonts w:asciiTheme="minorHAnsi" w:hAnsiTheme="minorHAnsi"/>
          <w:color w:val="auto"/>
          <w:sz w:val="20"/>
          <w:szCs w:val="20"/>
        </w:rPr>
        <w:t xml:space="preserve">This method has been applied to value </w:t>
      </w:r>
      <w:r w:rsidR="00776D86">
        <w:rPr>
          <w:rFonts w:asciiTheme="minorHAnsi" w:hAnsiTheme="minorHAnsi"/>
          <w:color w:val="auto"/>
          <w:sz w:val="20"/>
          <w:szCs w:val="20"/>
        </w:rPr>
        <w:t>the recreation</w:t>
      </w:r>
      <w:r w:rsidR="00006F62">
        <w:rPr>
          <w:rFonts w:asciiTheme="minorHAnsi" w:hAnsiTheme="minorHAnsi"/>
          <w:color w:val="auto"/>
          <w:sz w:val="20"/>
          <w:szCs w:val="20"/>
        </w:rPr>
        <w:t xml:space="preserve"> (enjoyment benefits)</w:t>
      </w:r>
      <w:r w:rsidR="003119C5">
        <w:rPr>
          <w:rFonts w:asciiTheme="minorHAnsi" w:hAnsiTheme="minorHAnsi"/>
          <w:color w:val="auto"/>
          <w:sz w:val="20"/>
          <w:szCs w:val="20"/>
        </w:rPr>
        <w:t>,</w:t>
      </w:r>
      <w:r w:rsidR="00776D86">
        <w:rPr>
          <w:rFonts w:asciiTheme="minorHAnsi" w:hAnsiTheme="minorHAnsi"/>
          <w:color w:val="auto"/>
          <w:sz w:val="20"/>
          <w:szCs w:val="20"/>
        </w:rPr>
        <w:t xml:space="preserve"> tourism</w:t>
      </w:r>
      <w:r w:rsidR="003119C5">
        <w:rPr>
          <w:rFonts w:asciiTheme="minorHAnsi" w:hAnsiTheme="minorHAnsi"/>
          <w:color w:val="auto"/>
          <w:sz w:val="20"/>
          <w:szCs w:val="20"/>
        </w:rPr>
        <w:t xml:space="preserve"> and education services</w:t>
      </w:r>
      <w:r w:rsidR="004F7742">
        <w:rPr>
          <w:rFonts w:asciiTheme="minorHAnsi" w:hAnsiTheme="minorHAnsi"/>
          <w:color w:val="auto"/>
          <w:sz w:val="20"/>
          <w:szCs w:val="20"/>
        </w:rPr>
        <w:t xml:space="preserve">. </w:t>
      </w:r>
    </w:p>
    <w:p w14:paraId="28DFC6CA" w14:textId="77777777" w:rsidR="000631AD" w:rsidRPr="000631AD" w:rsidRDefault="000631AD" w:rsidP="000631AD">
      <w:pPr>
        <w:pStyle w:val="ListBullet"/>
        <w:numPr>
          <w:ilvl w:val="0"/>
          <w:numId w:val="27"/>
        </w:numPr>
        <w:tabs>
          <w:tab w:val="clear" w:pos="357"/>
        </w:tabs>
        <w:rPr>
          <w:rFonts w:asciiTheme="minorHAnsi" w:hAnsiTheme="minorHAnsi"/>
          <w:color w:val="auto"/>
          <w:sz w:val="20"/>
          <w:szCs w:val="20"/>
        </w:rPr>
      </w:pPr>
      <w:r>
        <w:rPr>
          <w:rFonts w:ascii="Modern Era" w:hAnsi="Modern Era"/>
          <w:b/>
          <w:bCs/>
          <w:color w:val="auto"/>
          <w:sz w:val="20"/>
          <w:szCs w:val="20"/>
        </w:rPr>
        <w:t>Cost-based approaches:</w:t>
      </w:r>
      <w:r>
        <w:rPr>
          <w:rFonts w:ascii="Modern Era" w:hAnsi="Modern Era"/>
          <w:color w:val="auto"/>
          <w:sz w:val="20"/>
          <w:szCs w:val="20"/>
        </w:rPr>
        <w:t xml:space="preserve"> use the costs of providing the environmental service as proxy values for the benefits. This method is applied to value the greenhouse gas regulating service.</w:t>
      </w:r>
    </w:p>
    <w:p w14:paraId="62E26442" w14:textId="77777777" w:rsidR="000631AD" w:rsidRPr="000631AD" w:rsidRDefault="000631AD" w:rsidP="000631AD">
      <w:pPr>
        <w:pStyle w:val="ListBullet"/>
        <w:numPr>
          <w:ilvl w:val="0"/>
          <w:numId w:val="27"/>
        </w:numPr>
        <w:tabs>
          <w:tab w:val="clear" w:pos="357"/>
        </w:tabs>
        <w:rPr>
          <w:rFonts w:asciiTheme="minorHAnsi" w:hAnsiTheme="minorHAnsi"/>
          <w:color w:val="auto"/>
          <w:sz w:val="20"/>
          <w:szCs w:val="20"/>
        </w:rPr>
      </w:pPr>
      <w:r>
        <w:rPr>
          <w:rFonts w:ascii="Modern Era" w:hAnsi="Modern Era"/>
          <w:b/>
          <w:bCs/>
          <w:color w:val="auto"/>
          <w:sz w:val="20"/>
          <w:szCs w:val="20"/>
        </w:rPr>
        <w:t>Avoided costs:</w:t>
      </w:r>
      <w:r>
        <w:rPr>
          <w:rFonts w:ascii="Modern Era" w:hAnsi="Modern Era"/>
          <w:color w:val="auto"/>
          <w:sz w:val="20"/>
          <w:szCs w:val="20"/>
        </w:rPr>
        <w:t xml:space="preserve"> prices are estimated in terms of the value of the damages that would arise if the service were reduced or did not exist. This technique has been applied to value the air pollution regulating, urban heat regulating and recreation (health cost savings) services.</w:t>
      </w:r>
    </w:p>
    <w:p w14:paraId="5C54A60D" w14:textId="26823BF1" w:rsidR="00222CCD" w:rsidRPr="0036689B" w:rsidRDefault="00511F0F" w:rsidP="00776D86">
      <w:pPr>
        <w:pStyle w:val="ListBullet"/>
        <w:numPr>
          <w:ilvl w:val="0"/>
          <w:numId w:val="27"/>
        </w:numPr>
        <w:spacing w:after="120" w:line="240" w:lineRule="atLeast"/>
        <w:rPr>
          <w:rFonts w:asciiTheme="minorHAnsi" w:hAnsiTheme="minorHAnsi"/>
          <w:color w:val="auto"/>
          <w:sz w:val="20"/>
          <w:szCs w:val="20"/>
        </w:rPr>
      </w:pPr>
      <w:r>
        <w:rPr>
          <w:rFonts w:asciiTheme="minorHAnsi" w:hAnsiTheme="minorHAnsi"/>
          <w:b/>
          <w:bCs/>
          <w:color w:val="auto"/>
          <w:sz w:val="20"/>
          <w:szCs w:val="20"/>
        </w:rPr>
        <w:t>Replacement</w:t>
      </w:r>
      <w:r w:rsidR="00222CCD">
        <w:rPr>
          <w:rFonts w:asciiTheme="minorHAnsi" w:hAnsiTheme="minorHAnsi"/>
          <w:b/>
          <w:bCs/>
          <w:color w:val="auto"/>
          <w:sz w:val="20"/>
          <w:szCs w:val="20"/>
        </w:rPr>
        <w:t xml:space="preserve"> costs: </w:t>
      </w:r>
      <w:r w:rsidR="006735B3">
        <w:rPr>
          <w:rFonts w:asciiTheme="minorHAnsi" w:hAnsiTheme="minorHAnsi"/>
          <w:color w:val="auto"/>
          <w:sz w:val="20"/>
          <w:szCs w:val="20"/>
        </w:rPr>
        <w:t>p</w:t>
      </w:r>
      <w:r w:rsidR="00222CCD" w:rsidRPr="00D02E28">
        <w:rPr>
          <w:rFonts w:asciiTheme="minorHAnsi" w:hAnsiTheme="minorHAnsi"/>
          <w:color w:val="auto"/>
          <w:sz w:val="20"/>
          <w:szCs w:val="20"/>
        </w:rPr>
        <w:t>rices reflect the estimated cost of replaci</w:t>
      </w:r>
      <w:r w:rsidR="0090359D">
        <w:rPr>
          <w:rFonts w:asciiTheme="minorHAnsi" w:hAnsiTheme="minorHAnsi"/>
          <w:color w:val="auto"/>
          <w:sz w:val="20"/>
          <w:szCs w:val="20"/>
        </w:rPr>
        <w:t>ng</w:t>
      </w:r>
      <w:r w:rsidR="00222CCD" w:rsidRPr="00D02E28">
        <w:rPr>
          <w:rFonts w:asciiTheme="minorHAnsi" w:hAnsiTheme="minorHAnsi"/>
          <w:color w:val="auto"/>
          <w:sz w:val="20"/>
          <w:szCs w:val="20"/>
        </w:rPr>
        <w:t xml:space="preserve"> </w:t>
      </w:r>
      <w:r w:rsidR="0090359D">
        <w:rPr>
          <w:rFonts w:asciiTheme="minorHAnsi" w:hAnsiTheme="minorHAnsi"/>
          <w:color w:val="auto"/>
          <w:sz w:val="20"/>
          <w:szCs w:val="20"/>
        </w:rPr>
        <w:t xml:space="preserve">a service. This </w:t>
      </w:r>
      <w:r w:rsidR="00511202">
        <w:rPr>
          <w:rFonts w:asciiTheme="minorHAnsi" w:hAnsiTheme="minorHAnsi"/>
          <w:color w:val="auto"/>
          <w:sz w:val="20"/>
          <w:szCs w:val="20"/>
        </w:rPr>
        <w:t>method has been applied to value the volunteering service.</w:t>
      </w:r>
    </w:p>
    <w:p w14:paraId="25A88654" w14:textId="54B88433" w:rsidR="00EF2F5B" w:rsidRDefault="0036689B" w:rsidP="00EF2F5B">
      <w:pPr>
        <w:spacing w:after="0"/>
      </w:pPr>
      <w:r>
        <w:t>We have undertaken</w:t>
      </w:r>
      <w:r w:rsidRPr="004D612E">
        <w:t xml:space="preserve"> a materiality assessment to identify the </w:t>
      </w:r>
      <w:r w:rsidRPr="0073585B">
        <w:t>priority ecosystem services</w:t>
      </w:r>
      <w:r w:rsidRPr="004D612E">
        <w:t xml:space="preserve"> to include in the accounts. </w:t>
      </w:r>
      <w:r>
        <w:t>This has</w:t>
      </w:r>
      <w:r w:rsidRPr="004D612E">
        <w:t xml:space="preserve"> consider</w:t>
      </w:r>
      <w:r>
        <w:t>ed</w:t>
      </w:r>
      <w:r w:rsidRPr="004D612E">
        <w:t xml:space="preserve"> </w:t>
      </w:r>
      <w:r>
        <w:t>e</w:t>
      </w:r>
      <w:r w:rsidRPr="004D612E">
        <w:t xml:space="preserve">vidence (e.g. from </w:t>
      </w:r>
      <w:r w:rsidR="005C0E17">
        <w:t>internal</w:t>
      </w:r>
      <w:r w:rsidRPr="004D612E">
        <w:t xml:space="preserve"> Trust information and research) on what ecosystem services provided are </w:t>
      </w:r>
      <w:r w:rsidR="00370031">
        <w:t xml:space="preserve">present and </w:t>
      </w:r>
      <w:r w:rsidRPr="004D612E">
        <w:t>significant</w:t>
      </w:r>
      <w:r>
        <w:t xml:space="preserve"> </w:t>
      </w:r>
      <w:r w:rsidR="00370031">
        <w:t>for waterways</w:t>
      </w:r>
      <w:r>
        <w:t xml:space="preserve"> and whether </w:t>
      </w:r>
      <w:r w:rsidRPr="004D612E">
        <w:t xml:space="preserve">the service provision </w:t>
      </w:r>
      <w:r>
        <w:t xml:space="preserve">is </w:t>
      </w:r>
      <w:r w:rsidRPr="004D612E">
        <w:t xml:space="preserve">widespread across </w:t>
      </w:r>
      <w:r>
        <w:t xml:space="preserve">the </w:t>
      </w:r>
      <w:r w:rsidR="00370031">
        <w:t>Trust’s</w:t>
      </w:r>
      <w:r w:rsidRPr="004D612E">
        <w:t xml:space="preserve"> network or more localised</w:t>
      </w:r>
      <w:r>
        <w:t>.</w:t>
      </w:r>
    </w:p>
    <w:p w14:paraId="1B850B4C" w14:textId="2E592E03" w:rsidR="006E1A7A" w:rsidRDefault="005C235E" w:rsidP="00A35AA1">
      <w:pPr>
        <w:pStyle w:val="Heading1"/>
      </w:pPr>
      <w:r>
        <w:t>Key National Findings</w:t>
      </w:r>
    </w:p>
    <w:p w14:paraId="1DD474B7" w14:textId="67C62A0F" w:rsidR="00704DFA" w:rsidRPr="008D5669" w:rsidRDefault="00561040" w:rsidP="00A7378C">
      <w:r>
        <w:t>The annual value of ecosystem services delivered by the natural capital assets under Trust management responsibility is</w:t>
      </w:r>
      <w:r w:rsidRPr="006E6E92">
        <w:t xml:space="preserve"> </w:t>
      </w:r>
      <w:r>
        <w:t>£3.</w:t>
      </w:r>
      <w:r w:rsidR="00370031">
        <w:t>3</w:t>
      </w:r>
      <w:r w:rsidR="006317CC">
        <w:t>billion</w:t>
      </w:r>
      <w:r>
        <w:t>. The total asset value is £9</w:t>
      </w:r>
      <w:r w:rsidR="006911D2">
        <w:t>9</w:t>
      </w:r>
      <w:r>
        <w:t>.</w:t>
      </w:r>
      <w:r w:rsidR="006911D2">
        <w:t>2</w:t>
      </w:r>
      <w:r w:rsidR="006317CC">
        <w:t>billion</w:t>
      </w:r>
      <w:r>
        <w:t xml:space="preserve">. </w:t>
      </w:r>
      <w:r w:rsidR="00370031">
        <w:t>See Table 1 for</w:t>
      </w:r>
      <w:r w:rsidR="00EE1491">
        <w:t xml:space="preserve"> the estimated physical flow, monetary flow and asset value for each ecosystem service.</w:t>
      </w:r>
    </w:p>
    <w:p w14:paraId="19814CA7" w14:textId="0D2B6FF6" w:rsidR="008D5669" w:rsidRDefault="008D5669" w:rsidP="00A7378C">
      <w:r w:rsidRPr="00CA366B">
        <w:t>The large majority of the</w:t>
      </w:r>
      <w:r w:rsidR="0017714D">
        <w:t xml:space="preserve"> natural capital</w:t>
      </w:r>
      <w:r w:rsidRPr="00CA366B">
        <w:t xml:space="preserve"> value comes from the recreational visits to the Trust’s waterways and towpaths (£</w:t>
      </w:r>
      <w:r>
        <w:t xml:space="preserve">44.6 </w:t>
      </w:r>
      <w:r w:rsidR="006317CC">
        <w:t>billion</w:t>
      </w:r>
      <w:r w:rsidRPr="00CA366B">
        <w:t xml:space="preserve">), </w:t>
      </w:r>
      <w:r w:rsidR="00741AE2">
        <w:t>domestic tourism visits</w:t>
      </w:r>
      <w:r>
        <w:t xml:space="preserve"> (£8.3</w:t>
      </w:r>
      <w:r w:rsidR="006317CC">
        <w:t>billion</w:t>
      </w:r>
      <w:r>
        <w:t xml:space="preserve">) and </w:t>
      </w:r>
      <w:r w:rsidRPr="00CA366B">
        <w:t>the health benefits from active visits (£3</w:t>
      </w:r>
      <w:r>
        <w:t>5.8</w:t>
      </w:r>
      <w:r w:rsidR="006317CC">
        <w:t>billion</w:t>
      </w:r>
      <w:r w:rsidRPr="00CA366B">
        <w:t xml:space="preserve">), accounting for </w:t>
      </w:r>
      <w:r>
        <w:t>89</w:t>
      </w:r>
      <w:r w:rsidRPr="00CA366B">
        <w:t xml:space="preserve">% of </w:t>
      </w:r>
      <w:r w:rsidR="0029087F">
        <w:t>the</w:t>
      </w:r>
      <w:r w:rsidRPr="00CA366B">
        <w:t xml:space="preserve"> total value (see</w:t>
      </w:r>
      <w:r>
        <w:t xml:space="preserve"> Figure 1</w:t>
      </w:r>
      <w:r w:rsidRPr="00A37EAE">
        <w:t>).</w:t>
      </w:r>
    </w:p>
    <w:p w14:paraId="106655FF" w14:textId="77777777" w:rsidR="008D5669" w:rsidRDefault="008D5669" w:rsidP="008D5669">
      <w:pPr>
        <w:pStyle w:val="BodyText"/>
        <w:rPr>
          <w:b/>
          <w:bCs/>
        </w:rPr>
      </w:pPr>
      <w:r>
        <w:rPr>
          <w:b/>
          <w:bCs/>
          <w:lang w:eastAsia="zh-TW"/>
        </w:rPr>
        <w:lastRenderedPageBreak/>
        <w:t>Figure 1</w:t>
      </w:r>
      <w:r w:rsidRPr="004E3746">
        <w:rPr>
          <w:b/>
          <w:bCs/>
          <w:lang w:eastAsia="zh-TW"/>
        </w:rPr>
        <w:t xml:space="preserve">: </w:t>
      </w:r>
      <w:r>
        <w:rPr>
          <w:b/>
          <w:bCs/>
        </w:rPr>
        <w:t>Summary of breakdown of total natural capital asset value by ecosystem service in 2023.</w:t>
      </w:r>
    </w:p>
    <w:p w14:paraId="40FDDB5F" w14:textId="77777777" w:rsidR="008D5669" w:rsidRPr="00A46276" w:rsidRDefault="008D5669" w:rsidP="008D5669">
      <w:pPr>
        <w:pStyle w:val="BodyText"/>
        <w:rPr>
          <w:b/>
          <w:lang w:eastAsia="zh-TW"/>
        </w:rPr>
      </w:pPr>
      <w:r>
        <w:rPr>
          <w:b/>
          <w:noProof/>
          <w:lang w:eastAsia="zh-TW"/>
        </w:rPr>
        <w:drawing>
          <wp:inline distT="0" distB="0" distL="0" distR="0" wp14:anchorId="7267D72A" wp14:editId="14B65B73">
            <wp:extent cx="5730875" cy="3700780"/>
            <wp:effectExtent l="0" t="0" r="3175" b="0"/>
            <wp:docPr id="1387297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700780"/>
                    </a:xfrm>
                    <a:prstGeom prst="rect">
                      <a:avLst/>
                    </a:prstGeom>
                    <a:noFill/>
                  </pic:spPr>
                </pic:pic>
              </a:graphicData>
            </a:graphic>
          </wp:inline>
        </w:drawing>
      </w:r>
    </w:p>
    <w:p w14:paraId="65D5AD24" w14:textId="70C105AB" w:rsidR="008D5669" w:rsidRDefault="008D5669" w:rsidP="00A349AA">
      <w:pPr>
        <w:pStyle w:val="BodyText"/>
        <w:spacing w:after="0" w:line="240" w:lineRule="auto"/>
      </w:pPr>
      <w:r>
        <w:t>The remaining 11% of asset value is delivered from a range of other ecosystem services. W</w:t>
      </w:r>
      <w:r w:rsidRPr="00CA366B">
        <w:t>ater</w:t>
      </w:r>
      <w:r w:rsidR="00A349AA">
        <w:t xml:space="preserve"> </w:t>
      </w:r>
      <w:r w:rsidRPr="00CA366B">
        <w:t xml:space="preserve">provided through transfer agreements with water companies </w:t>
      </w:r>
      <w:r w:rsidR="00BB58F4">
        <w:t>is valued at</w:t>
      </w:r>
      <w:r w:rsidRPr="00CA366B">
        <w:t xml:space="preserve"> £6.1</w:t>
      </w:r>
      <w:r w:rsidR="006317CC">
        <w:t>billion</w:t>
      </w:r>
      <w:r w:rsidR="00A349AA">
        <w:rPr>
          <w:rStyle w:val="FootnoteReference"/>
        </w:rPr>
        <w:footnoteReference w:id="2"/>
      </w:r>
      <w:r>
        <w:t xml:space="preserve">, </w:t>
      </w:r>
      <w:r w:rsidR="00557591">
        <w:t>a</w:t>
      </w:r>
      <w:r w:rsidRPr="00116815">
        <w:t xml:space="preserve">esthetic and recreation (house prices) </w:t>
      </w:r>
      <w:r>
        <w:t xml:space="preserve">benefits </w:t>
      </w:r>
      <w:r w:rsidR="0050726B">
        <w:t>are valued at</w:t>
      </w:r>
      <w:r>
        <w:t xml:space="preserve"> £2.5</w:t>
      </w:r>
      <w:r w:rsidR="006317CC">
        <w:t>billion</w:t>
      </w:r>
      <w:r>
        <w:t xml:space="preserve">, </w:t>
      </w:r>
      <w:r w:rsidR="00557591">
        <w:t>u</w:t>
      </w:r>
      <w:r>
        <w:t xml:space="preserve">rban heat regulating benefits </w:t>
      </w:r>
      <w:r w:rsidR="0050726B">
        <w:t>are valued at</w:t>
      </w:r>
      <w:r>
        <w:t xml:space="preserve"> £1.1</w:t>
      </w:r>
      <w:r w:rsidR="006317CC">
        <w:t>billion</w:t>
      </w:r>
      <w:r>
        <w:t xml:space="preserve">, </w:t>
      </w:r>
      <w:r w:rsidR="00557591">
        <w:t>vo</w:t>
      </w:r>
      <w:r>
        <w:t xml:space="preserve">lunteering benefits </w:t>
      </w:r>
      <w:r w:rsidR="0050726B">
        <w:t>are valued at</w:t>
      </w:r>
      <w:r>
        <w:t xml:space="preserve"> £0.34</w:t>
      </w:r>
      <w:r w:rsidR="006317CC">
        <w:t>billion</w:t>
      </w:r>
      <w:r>
        <w:t xml:space="preserve">, </w:t>
      </w:r>
      <w:r w:rsidR="00557591">
        <w:t>g</w:t>
      </w:r>
      <w:r w:rsidRPr="008D40AE">
        <w:t>reenhouse gas regulating</w:t>
      </w:r>
      <w:r>
        <w:t xml:space="preserve"> benefits </w:t>
      </w:r>
      <w:r w:rsidR="00557591">
        <w:t>valued at</w:t>
      </w:r>
      <w:r>
        <w:t xml:space="preserve"> £0.28</w:t>
      </w:r>
      <w:r w:rsidR="006317CC">
        <w:t>billion</w:t>
      </w:r>
      <w:r>
        <w:t xml:space="preserve">, </w:t>
      </w:r>
      <w:r w:rsidR="00557591">
        <w:t>a</w:t>
      </w:r>
      <w:r w:rsidRPr="008D40AE">
        <w:t>ir pollution regulating</w:t>
      </w:r>
      <w:r>
        <w:t xml:space="preserve"> benefits </w:t>
      </w:r>
      <w:r w:rsidR="00557591">
        <w:t>valued at</w:t>
      </w:r>
      <w:r>
        <w:t xml:space="preserve"> £0.07</w:t>
      </w:r>
      <w:r w:rsidR="006317CC">
        <w:t>billion</w:t>
      </w:r>
      <w:r>
        <w:t xml:space="preserve">, and </w:t>
      </w:r>
      <w:r w:rsidR="00557591">
        <w:t>e</w:t>
      </w:r>
      <w:r>
        <w:t>ducation</w:t>
      </w:r>
      <w:r w:rsidR="00557591">
        <w:t xml:space="preserve"> valued at</w:t>
      </w:r>
      <w:r>
        <w:t xml:space="preserve"> £0.01</w:t>
      </w:r>
      <w:r w:rsidR="006317CC">
        <w:t>billion</w:t>
      </w:r>
      <w:r>
        <w:t>.</w:t>
      </w:r>
    </w:p>
    <w:p w14:paraId="4583DFC3" w14:textId="7495AC20" w:rsidR="006E2827" w:rsidRDefault="006E2827">
      <w:pPr>
        <w:pStyle w:val="BodyText"/>
        <w:rPr>
          <w:kern w:val="2"/>
          <w:szCs w:val="20"/>
          <w14:ligatures w14:val="standardContextual"/>
        </w:rPr>
      </w:pPr>
      <w:r>
        <w:t>The relatively high £1.1</w:t>
      </w:r>
      <w:r w:rsidR="006317CC">
        <w:t>billion</w:t>
      </w:r>
      <w:r>
        <w:t xml:space="preserve"> urban heat regulating asset value reflects the benefit that the canals in urban areas will deliver with increasing temperatures as a result of climate change. The cooling effect of the Trust’s canals will become increasingly more valuable each year as temperatures rise over time.</w:t>
      </w:r>
    </w:p>
    <w:p w14:paraId="481B3133" w14:textId="77777777" w:rsidR="008D5669" w:rsidRDefault="008D5669" w:rsidP="00561040">
      <w:pPr>
        <w:pStyle w:val="BodyText"/>
        <w:rPr>
          <w:b/>
          <w:bCs/>
          <w:lang w:eastAsia="zh-TW"/>
        </w:rPr>
        <w:sectPr w:rsidR="008D5669" w:rsidSect="003B2C4D">
          <w:pgSz w:w="11906" w:h="16838"/>
          <w:pgMar w:top="1134" w:right="1440" w:bottom="851" w:left="1440" w:header="709" w:footer="284" w:gutter="0"/>
          <w:cols w:space="708"/>
          <w:docGrid w:linePitch="360"/>
        </w:sectPr>
      </w:pPr>
    </w:p>
    <w:p w14:paraId="72F03588" w14:textId="06DD9809" w:rsidR="00C24403" w:rsidRPr="007400FA" w:rsidRDefault="00C24403" w:rsidP="00561040">
      <w:pPr>
        <w:pStyle w:val="BodyText"/>
        <w:rPr>
          <w:b/>
          <w:bCs/>
          <w:lang w:eastAsia="zh-TW"/>
        </w:rPr>
      </w:pPr>
      <w:r>
        <w:rPr>
          <w:b/>
          <w:bCs/>
          <w:lang w:eastAsia="zh-TW"/>
        </w:rPr>
        <w:lastRenderedPageBreak/>
        <w:t xml:space="preserve">Table </w:t>
      </w:r>
      <w:r w:rsidR="00497CCA">
        <w:rPr>
          <w:b/>
          <w:bCs/>
          <w:lang w:eastAsia="zh-TW"/>
        </w:rPr>
        <w:t>1</w:t>
      </w:r>
      <w:r w:rsidRPr="004E3746">
        <w:rPr>
          <w:b/>
          <w:bCs/>
          <w:lang w:eastAsia="zh-TW"/>
        </w:rPr>
        <w:t xml:space="preserve">: </w:t>
      </w:r>
      <w:r w:rsidR="007400FA" w:rsidRPr="00A917F0">
        <w:rPr>
          <w:b/>
          <w:bCs/>
        </w:rPr>
        <w:t xml:space="preserve">Summary </w:t>
      </w:r>
      <w:r w:rsidR="007400FA">
        <w:rPr>
          <w:b/>
          <w:bCs/>
        </w:rPr>
        <w:t>results</w:t>
      </w:r>
      <w:r w:rsidR="007400FA" w:rsidRPr="00313920">
        <w:rPr>
          <w:b/>
          <w:bCs/>
        </w:rPr>
        <w:t xml:space="preserve"> for 2023 – Total organisational (England &amp; Wales) (£millions, 2023 price year, annual and asset value over 100-year period)</w:t>
      </w:r>
    </w:p>
    <w:tbl>
      <w:tblPr>
        <w:tblW w:w="4912" w:type="pct"/>
        <w:tblLayout w:type="fixed"/>
        <w:tblLook w:val="04A0" w:firstRow="1" w:lastRow="0" w:firstColumn="1" w:lastColumn="0" w:noHBand="0" w:noVBand="1"/>
      </w:tblPr>
      <w:tblGrid>
        <w:gridCol w:w="4229"/>
        <w:gridCol w:w="2589"/>
        <w:gridCol w:w="2590"/>
        <w:gridCol w:w="2589"/>
        <w:gridCol w:w="2590"/>
      </w:tblGrid>
      <w:tr w:rsidR="00E4147A" w:rsidRPr="001623F0" w14:paraId="2E1AE162" w14:textId="77777777" w:rsidTr="003C263A">
        <w:trPr>
          <w:trHeight w:val="531"/>
        </w:trPr>
        <w:tc>
          <w:tcPr>
            <w:tcW w:w="4229" w:type="dxa"/>
            <w:tcBorders>
              <w:left w:val="single" w:sz="4" w:space="0" w:color="auto"/>
              <w:bottom w:val="single" w:sz="4" w:space="0" w:color="auto"/>
              <w:right w:val="single" w:sz="4" w:space="0" w:color="auto"/>
            </w:tcBorders>
            <w:shd w:val="clear" w:color="auto" w:fill="0E2841"/>
            <w:noWrap/>
            <w:vAlign w:val="center"/>
            <w:hideMark/>
          </w:tcPr>
          <w:p w14:paraId="347E347D" w14:textId="77777777" w:rsidR="00E4147A" w:rsidRPr="001623F0" w:rsidRDefault="00E4147A" w:rsidP="00890B17">
            <w:pPr>
              <w:spacing w:after="0"/>
              <w:rPr>
                <w:rFonts w:asciiTheme="majorHAnsi" w:hAnsiTheme="majorHAnsi" w:cstheme="majorHAnsi"/>
                <w:b/>
                <w:bCs/>
                <w:color w:val="FFFFFF"/>
                <w:sz w:val="18"/>
              </w:rPr>
            </w:pPr>
            <w:r w:rsidRPr="001623F0">
              <w:rPr>
                <w:rFonts w:asciiTheme="majorHAnsi" w:hAnsiTheme="majorHAnsi" w:cstheme="majorHAnsi"/>
                <w:b/>
                <w:bCs/>
                <w:color w:val="FFFFFF"/>
                <w:sz w:val="18"/>
              </w:rPr>
              <w:t>Ecosystem service</w:t>
            </w:r>
          </w:p>
        </w:tc>
        <w:tc>
          <w:tcPr>
            <w:tcW w:w="2589" w:type="dxa"/>
            <w:tcBorders>
              <w:top w:val="nil"/>
              <w:left w:val="single" w:sz="4" w:space="0" w:color="auto"/>
              <w:bottom w:val="single" w:sz="4" w:space="0" w:color="auto"/>
              <w:right w:val="single" w:sz="4" w:space="0" w:color="auto"/>
            </w:tcBorders>
            <w:shd w:val="clear" w:color="auto" w:fill="0E2841"/>
            <w:noWrap/>
            <w:vAlign w:val="center"/>
            <w:hideMark/>
          </w:tcPr>
          <w:p w14:paraId="68B065D7" w14:textId="77777777" w:rsidR="00E4147A" w:rsidRPr="001623F0" w:rsidRDefault="00E4147A"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Physical Flow (annual)</w:t>
            </w:r>
          </w:p>
        </w:tc>
        <w:tc>
          <w:tcPr>
            <w:tcW w:w="2590" w:type="dxa"/>
            <w:tcBorders>
              <w:top w:val="nil"/>
              <w:left w:val="single" w:sz="4" w:space="0" w:color="auto"/>
              <w:bottom w:val="single" w:sz="4" w:space="0" w:color="auto"/>
              <w:right w:val="single" w:sz="4" w:space="0" w:color="auto"/>
            </w:tcBorders>
            <w:shd w:val="clear" w:color="auto" w:fill="0E2841"/>
            <w:vAlign w:val="center"/>
          </w:tcPr>
          <w:p w14:paraId="523FDF6B" w14:textId="77777777" w:rsidR="00E4147A" w:rsidRPr="001623F0" w:rsidRDefault="00E4147A"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Units</w:t>
            </w:r>
          </w:p>
        </w:tc>
        <w:tc>
          <w:tcPr>
            <w:tcW w:w="2589" w:type="dxa"/>
            <w:tcBorders>
              <w:top w:val="nil"/>
              <w:left w:val="single" w:sz="4" w:space="0" w:color="auto"/>
              <w:bottom w:val="single" w:sz="4" w:space="0" w:color="auto"/>
              <w:right w:val="single" w:sz="4" w:space="0" w:color="auto"/>
            </w:tcBorders>
            <w:shd w:val="clear" w:color="auto" w:fill="0E2841"/>
            <w:noWrap/>
            <w:vAlign w:val="center"/>
            <w:hideMark/>
          </w:tcPr>
          <w:p w14:paraId="1DE48956" w14:textId="77777777" w:rsidR="00E4147A" w:rsidRDefault="00E4147A"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Monetary Flow (annual)</w:t>
            </w:r>
          </w:p>
          <w:p w14:paraId="59E47555" w14:textId="49ED9BD2" w:rsidR="0014179C" w:rsidRPr="001623F0" w:rsidRDefault="0014179C"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Millions (m)</w:t>
            </w:r>
          </w:p>
        </w:tc>
        <w:tc>
          <w:tcPr>
            <w:tcW w:w="2590" w:type="dxa"/>
            <w:tcBorders>
              <w:top w:val="nil"/>
              <w:left w:val="single" w:sz="4" w:space="0" w:color="auto"/>
              <w:bottom w:val="single" w:sz="4" w:space="0" w:color="auto"/>
              <w:right w:val="nil"/>
            </w:tcBorders>
            <w:shd w:val="clear" w:color="auto" w:fill="0E2841"/>
            <w:noWrap/>
            <w:vAlign w:val="center"/>
            <w:hideMark/>
          </w:tcPr>
          <w:p w14:paraId="0BF2F8FA" w14:textId="77777777" w:rsidR="00E4147A" w:rsidRDefault="00E4147A"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Asset Value</w:t>
            </w:r>
          </w:p>
          <w:p w14:paraId="2C762774" w14:textId="036E56BA" w:rsidR="0014179C" w:rsidRPr="001623F0" w:rsidRDefault="0014179C"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Millions (m)</w:t>
            </w:r>
          </w:p>
        </w:tc>
      </w:tr>
      <w:tr w:rsidR="00E4147A" w:rsidRPr="001623F0" w14:paraId="55DF8B32" w14:textId="77777777" w:rsidTr="003C263A">
        <w:trPr>
          <w:trHeight w:val="226"/>
        </w:trPr>
        <w:tc>
          <w:tcPr>
            <w:tcW w:w="4229" w:type="dxa"/>
            <w:tcBorders>
              <w:top w:val="single" w:sz="4" w:space="0" w:color="auto"/>
              <w:left w:val="single" w:sz="4" w:space="0" w:color="auto"/>
              <w:bottom w:val="single" w:sz="4" w:space="0" w:color="auto"/>
              <w:right w:val="nil"/>
            </w:tcBorders>
            <w:shd w:val="clear" w:color="auto" w:fill="B5B5B5" w:themeFill="background2" w:themeFillShade="BF"/>
            <w:noWrap/>
            <w:vAlign w:val="center"/>
            <w:hideMark/>
          </w:tcPr>
          <w:p w14:paraId="6578805F" w14:textId="2F2212D3" w:rsidR="00E4147A" w:rsidRPr="001623F0" w:rsidRDefault="00890B17" w:rsidP="00890B17">
            <w:pPr>
              <w:spacing w:after="0"/>
              <w:rPr>
                <w:rFonts w:asciiTheme="majorHAnsi" w:hAnsiTheme="majorHAnsi" w:cstheme="majorHAnsi"/>
                <w:color w:val="000000"/>
                <w:sz w:val="18"/>
              </w:rPr>
            </w:pPr>
            <w:r>
              <w:rPr>
                <w:rFonts w:asciiTheme="majorHAnsi" w:hAnsiTheme="majorHAnsi" w:cstheme="majorHAnsi"/>
                <w:color w:val="000000"/>
                <w:sz w:val="18"/>
              </w:rPr>
              <w:t>Provisioning</w:t>
            </w:r>
            <w:r w:rsidR="00E4147A" w:rsidRPr="001623F0">
              <w:rPr>
                <w:rFonts w:asciiTheme="majorHAnsi" w:hAnsiTheme="majorHAnsi" w:cstheme="majorHAnsi"/>
                <w:color w:val="000000"/>
                <w:sz w:val="18"/>
              </w:rPr>
              <w:t xml:space="preserve"> services</w:t>
            </w:r>
          </w:p>
        </w:tc>
        <w:tc>
          <w:tcPr>
            <w:tcW w:w="2589" w:type="dxa"/>
            <w:tcBorders>
              <w:top w:val="single" w:sz="4" w:space="0" w:color="auto"/>
              <w:left w:val="nil"/>
              <w:bottom w:val="single" w:sz="4" w:space="0" w:color="auto"/>
              <w:right w:val="nil"/>
            </w:tcBorders>
            <w:shd w:val="clear" w:color="auto" w:fill="B5B5B5" w:themeFill="background2" w:themeFillShade="BF"/>
            <w:noWrap/>
            <w:vAlign w:val="center"/>
          </w:tcPr>
          <w:p w14:paraId="5AE1BB84"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single" w:sz="4" w:space="0" w:color="auto"/>
              <w:left w:val="nil"/>
              <w:bottom w:val="single" w:sz="4" w:space="0" w:color="auto"/>
              <w:right w:val="nil"/>
            </w:tcBorders>
            <w:shd w:val="clear" w:color="auto" w:fill="B5B5B5" w:themeFill="background2" w:themeFillShade="BF"/>
            <w:vAlign w:val="center"/>
          </w:tcPr>
          <w:p w14:paraId="20E38C39" w14:textId="77777777" w:rsidR="00E4147A" w:rsidRPr="001623F0" w:rsidRDefault="00E4147A" w:rsidP="00890B17">
            <w:pPr>
              <w:spacing w:after="0"/>
              <w:rPr>
                <w:rFonts w:asciiTheme="majorHAnsi" w:hAnsiTheme="majorHAnsi" w:cstheme="majorHAnsi"/>
                <w:color w:val="000000"/>
                <w:sz w:val="18"/>
              </w:rPr>
            </w:pPr>
            <w:r w:rsidRPr="000A325E">
              <w:rPr>
                <w:rFonts w:asciiTheme="majorHAnsi" w:hAnsiTheme="majorHAnsi" w:cstheme="majorHAnsi"/>
                <w:color w:val="000000"/>
                <w:sz w:val="18"/>
              </w:rPr>
              <w:t> </w:t>
            </w:r>
          </w:p>
        </w:tc>
        <w:tc>
          <w:tcPr>
            <w:tcW w:w="2589" w:type="dxa"/>
            <w:tcBorders>
              <w:top w:val="single" w:sz="4" w:space="0" w:color="auto"/>
              <w:left w:val="nil"/>
              <w:bottom w:val="single" w:sz="4" w:space="0" w:color="auto"/>
              <w:right w:val="nil"/>
            </w:tcBorders>
            <w:shd w:val="clear" w:color="auto" w:fill="B5B5B5" w:themeFill="background2" w:themeFillShade="BF"/>
            <w:noWrap/>
            <w:vAlign w:val="center"/>
            <w:hideMark/>
          </w:tcPr>
          <w:p w14:paraId="5487354E"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single" w:sz="4" w:space="0" w:color="auto"/>
              <w:left w:val="nil"/>
              <w:bottom w:val="single" w:sz="4" w:space="0" w:color="auto"/>
              <w:right w:val="nil"/>
            </w:tcBorders>
            <w:shd w:val="clear" w:color="auto" w:fill="B5B5B5" w:themeFill="background2" w:themeFillShade="BF"/>
            <w:noWrap/>
            <w:vAlign w:val="center"/>
            <w:hideMark/>
          </w:tcPr>
          <w:p w14:paraId="6214DFEE" w14:textId="77777777" w:rsidR="00E4147A" w:rsidRPr="001623F0" w:rsidRDefault="00E4147A" w:rsidP="00890B17">
            <w:pPr>
              <w:spacing w:after="0"/>
              <w:jc w:val="right"/>
              <w:rPr>
                <w:rFonts w:asciiTheme="majorHAnsi" w:hAnsiTheme="majorHAnsi" w:cstheme="majorHAnsi"/>
                <w:color w:val="000000"/>
                <w:sz w:val="18"/>
              </w:rPr>
            </w:pPr>
          </w:p>
        </w:tc>
      </w:tr>
      <w:tr w:rsidR="00E4147A" w:rsidRPr="001623F0" w14:paraId="01018D1E" w14:textId="77777777" w:rsidTr="00313920">
        <w:trPr>
          <w:trHeight w:val="508"/>
        </w:trPr>
        <w:tc>
          <w:tcPr>
            <w:tcW w:w="4229" w:type="dxa"/>
            <w:tcBorders>
              <w:top w:val="single" w:sz="4" w:space="0" w:color="auto"/>
              <w:left w:val="single" w:sz="4" w:space="0" w:color="auto"/>
              <w:bottom w:val="single" w:sz="4" w:space="0" w:color="auto"/>
              <w:right w:val="single" w:sz="4" w:space="0" w:color="auto"/>
            </w:tcBorders>
            <w:vAlign w:val="center"/>
            <w:hideMark/>
          </w:tcPr>
          <w:p w14:paraId="21594F40" w14:textId="77777777" w:rsidR="00E4147A" w:rsidRPr="00CB5158" w:rsidRDefault="00E4147A" w:rsidP="00890B17">
            <w:pPr>
              <w:spacing w:after="0"/>
              <w:rPr>
                <w:rFonts w:cstheme="majorHAnsi"/>
                <w:color w:val="000000"/>
                <w:sz w:val="18"/>
              </w:rPr>
            </w:pPr>
            <w:r w:rsidRPr="00CB5158">
              <w:rPr>
                <w:rFonts w:cstheme="majorHAnsi"/>
                <w:color w:val="000000"/>
                <w:sz w:val="18"/>
              </w:rPr>
              <w:t>Renewable energy provisioning</w:t>
            </w:r>
          </w:p>
        </w:tc>
        <w:tc>
          <w:tcPr>
            <w:tcW w:w="2589" w:type="dxa"/>
            <w:tcBorders>
              <w:top w:val="nil"/>
              <w:left w:val="nil"/>
              <w:bottom w:val="single" w:sz="4" w:space="0" w:color="auto"/>
              <w:right w:val="single" w:sz="4" w:space="0" w:color="auto"/>
            </w:tcBorders>
            <w:noWrap/>
            <w:vAlign w:val="center"/>
          </w:tcPr>
          <w:p w14:paraId="7A4200CB"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92,845</w:t>
            </w:r>
          </w:p>
        </w:tc>
        <w:tc>
          <w:tcPr>
            <w:tcW w:w="2590" w:type="dxa"/>
            <w:tcBorders>
              <w:top w:val="nil"/>
              <w:left w:val="nil"/>
              <w:bottom w:val="single" w:sz="4" w:space="0" w:color="auto"/>
              <w:right w:val="single" w:sz="4" w:space="0" w:color="auto"/>
            </w:tcBorders>
            <w:vAlign w:val="center"/>
          </w:tcPr>
          <w:p w14:paraId="512574F0"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MWh</w:t>
            </w:r>
          </w:p>
        </w:tc>
        <w:tc>
          <w:tcPr>
            <w:tcW w:w="2589" w:type="dxa"/>
            <w:tcBorders>
              <w:top w:val="nil"/>
              <w:left w:val="nil"/>
              <w:bottom w:val="single" w:sz="4" w:space="0" w:color="auto"/>
              <w:right w:val="single" w:sz="4" w:space="0" w:color="auto"/>
            </w:tcBorders>
            <w:noWrap/>
            <w:vAlign w:val="center"/>
            <w:hideMark/>
          </w:tcPr>
          <w:p w14:paraId="273A386B" w14:textId="77777777" w:rsidR="00E4147A" w:rsidRPr="00CB5158" w:rsidRDefault="00E4147A" w:rsidP="00890B17">
            <w:pPr>
              <w:spacing w:after="0"/>
              <w:jc w:val="right"/>
              <w:rPr>
                <w:rFonts w:cstheme="majorHAnsi"/>
                <w:color w:val="000000"/>
                <w:sz w:val="18"/>
              </w:rPr>
            </w:pPr>
            <w:r w:rsidRPr="00CB5158">
              <w:rPr>
                <w:rFonts w:cstheme="majorHAnsi"/>
                <w:sz w:val="18"/>
              </w:rPr>
              <w:t>£1.76m</w:t>
            </w:r>
          </w:p>
        </w:tc>
        <w:tc>
          <w:tcPr>
            <w:tcW w:w="2590" w:type="dxa"/>
            <w:tcBorders>
              <w:top w:val="nil"/>
              <w:left w:val="nil"/>
              <w:bottom w:val="single" w:sz="4" w:space="0" w:color="auto"/>
              <w:right w:val="single" w:sz="4" w:space="0" w:color="auto"/>
            </w:tcBorders>
            <w:noWrap/>
            <w:vAlign w:val="center"/>
            <w:hideMark/>
          </w:tcPr>
          <w:p w14:paraId="7F933191" w14:textId="77777777" w:rsidR="00E4147A" w:rsidRPr="00CB5158" w:rsidRDefault="00E4147A" w:rsidP="00890B17">
            <w:pPr>
              <w:spacing w:after="0"/>
              <w:jc w:val="right"/>
              <w:rPr>
                <w:rFonts w:cstheme="majorHAnsi"/>
                <w:color w:val="000000"/>
                <w:sz w:val="18"/>
              </w:rPr>
            </w:pPr>
            <w:r w:rsidRPr="00CB5158">
              <w:rPr>
                <w:rFonts w:cstheme="majorHAnsi"/>
                <w:sz w:val="18"/>
              </w:rPr>
              <w:t>£52.46m</w:t>
            </w:r>
          </w:p>
        </w:tc>
      </w:tr>
      <w:tr w:rsidR="00E4147A" w:rsidRPr="001623F0" w14:paraId="21A9D4EA" w14:textId="77777777" w:rsidTr="00313920">
        <w:trPr>
          <w:trHeight w:val="508"/>
        </w:trPr>
        <w:tc>
          <w:tcPr>
            <w:tcW w:w="4229" w:type="dxa"/>
            <w:tcBorders>
              <w:top w:val="nil"/>
              <w:left w:val="single" w:sz="4" w:space="0" w:color="auto"/>
              <w:bottom w:val="single" w:sz="4" w:space="0" w:color="auto"/>
              <w:right w:val="single" w:sz="4" w:space="0" w:color="auto"/>
            </w:tcBorders>
            <w:vAlign w:val="center"/>
            <w:hideMark/>
          </w:tcPr>
          <w:p w14:paraId="338F586B" w14:textId="77777777" w:rsidR="00E4147A" w:rsidRPr="00CB5158" w:rsidRDefault="00E4147A" w:rsidP="00890B17">
            <w:pPr>
              <w:spacing w:after="0"/>
              <w:rPr>
                <w:rFonts w:cstheme="majorHAnsi"/>
                <w:color w:val="000000"/>
                <w:sz w:val="18"/>
              </w:rPr>
            </w:pPr>
            <w:r w:rsidRPr="00CB5158">
              <w:rPr>
                <w:rFonts w:cstheme="majorHAnsi"/>
                <w:color w:val="000000"/>
                <w:sz w:val="18"/>
              </w:rPr>
              <w:t xml:space="preserve">Water provisioning </w:t>
            </w:r>
          </w:p>
        </w:tc>
        <w:tc>
          <w:tcPr>
            <w:tcW w:w="2589" w:type="dxa"/>
            <w:tcBorders>
              <w:top w:val="nil"/>
              <w:left w:val="nil"/>
              <w:bottom w:val="single" w:sz="4" w:space="0" w:color="auto"/>
              <w:right w:val="single" w:sz="4" w:space="0" w:color="auto"/>
            </w:tcBorders>
            <w:noWrap/>
            <w:vAlign w:val="center"/>
          </w:tcPr>
          <w:p w14:paraId="1D3FD445"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276,488,000</w:t>
            </w:r>
          </w:p>
        </w:tc>
        <w:tc>
          <w:tcPr>
            <w:tcW w:w="2590" w:type="dxa"/>
            <w:tcBorders>
              <w:top w:val="nil"/>
              <w:left w:val="nil"/>
              <w:bottom w:val="single" w:sz="4" w:space="0" w:color="auto"/>
              <w:right w:val="single" w:sz="4" w:space="0" w:color="auto"/>
            </w:tcBorders>
            <w:vAlign w:val="center"/>
          </w:tcPr>
          <w:p w14:paraId="34BF206A"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m</w:t>
            </w:r>
            <w:r w:rsidRPr="00CB5158">
              <w:rPr>
                <w:rFonts w:cstheme="majorHAnsi"/>
                <w:color w:val="000000"/>
                <w:sz w:val="18"/>
                <w:vertAlign w:val="superscript"/>
              </w:rPr>
              <w:t>3</w:t>
            </w:r>
          </w:p>
        </w:tc>
        <w:tc>
          <w:tcPr>
            <w:tcW w:w="2589" w:type="dxa"/>
            <w:tcBorders>
              <w:top w:val="nil"/>
              <w:left w:val="nil"/>
              <w:bottom w:val="single" w:sz="4" w:space="0" w:color="auto"/>
              <w:right w:val="single" w:sz="4" w:space="0" w:color="auto"/>
            </w:tcBorders>
            <w:noWrap/>
            <w:vAlign w:val="center"/>
            <w:hideMark/>
          </w:tcPr>
          <w:p w14:paraId="1AE23DF0" w14:textId="77777777" w:rsidR="00E4147A" w:rsidRPr="00CB5158" w:rsidRDefault="00E4147A" w:rsidP="00890B17">
            <w:pPr>
              <w:spacing w:after="0"/>
              <w:jc w:val="right"/>
              <w:rPr>
                <w:rFonts w:cstheme="majorHAnsi"/>
                <w:color w:val="000000"/>
                <w:sz w:val="18"/>
              </w:rPr>
            </w:pPr>
            <w:r w:rsidRPr="00CB5158">
              <w:rPr>
                <w:rFonts w:cstheme="majorHAnsi"/>
                <w:sz w:val="18"/>
              </w:rPr>
              <w:t>£204.60m</w:t>
            </w:r>
          </w:p>
        </w:tc>
        <w:tc>
          <w:tcPr>
            <w:tcW w:w="2590" w:type="dxa"/>
            <w:tcBorders>
              <w:top w:val="nil"/>
              <w:left w:val="nil"/>
              <w:bottom w:val="single" w:sz="4" w:space="0" w:color="auto"/>
              <w:right w:val="single" w:sz="4" w:space="0" w:color="auto"/>
            </w:tcBorders>
            <w:noWrap/>
            <w:vAlign w:val="center"/>
            <w:hideMark/>
          </w:tcPr>
          <w:p w14:paraId="746ED4AC" w14:textId="77777777" w:rsidR="00E4147A" w:rsidRPr="00CB5158" w:rsidRDefault="00E4147A" w:rsidP="00890B17">
            <w:pPr>
              <w:spacing w:after="0"/>
              <w:jc w:val="right"/>
              <w:rPr>
                <w:rFonts w:cstheme="majorHAnsi"/>
                <w:color w:val="000000"/>
                <w:sz w:val="18"/>
              </w:rPr>
            </w:pPr>
            <w:r w:rsidRPr="00CB5158">
              <w:rPr>
                <w:rFonts w:cstheme="majorHAnsi"/>
                <w:sz w:val="18"/>
              </w:rPr>
              <w:t xml:space="preserve"> £6,110.08m</w:t>
            </w:r>
          </w:p>
        </w:tc>
      </w:tr>
      <w:tr w:rsidR="00E4147A" w:rsidRPr="001623F0" w14:paraId="2156350D" w14:textId="77777777" w:rsidTr="00313920">
        <w:trPr>
          <w:trHeight w:val="226"/>
        </w:trPr>
        <w:tc>
          <w:tcPr>
            <w:tcW w:w="4229" w:type="dxa"/>
            <w:tcBorders>
              <w:top w:val="single" w:sz="4" w:space="0" w:color="auto"/>
              <w:left w:val="single" w:sz="4" w:space="0" w:color="auto"/>
              <w:bottom w:val="single" w:sz="4" w:space="0" w:color="auto"/>
              <w:right w:val="nil"/>
            </w:tcBorders>
            <w:shd w:val="clear" w:color="auto" w:fill="B5B5B5" w:themeFill="background2" w:themeFillShade="BF"/>
            <w:noWrap/>
            <w:vAlign w:val="center"/>
            <w:hideMark/>
          </w:tcPr>
          <w:p w14:paraId="0B59D899" w14:textId="77777777" w:rsidR="00E4147A" w:rsidRPr="001623F0" w:rsidRDefault="00E4147A" w:rsidP="00890B17">
            <w:pPr>
              <w:spacing w:after="0"/>
              <w:rPr>
                <w:rFonts w:asciiTheme="majorHAnsi" w:hAnsiTheme="majorHAnsi" w:cstheme="majorHAnsi"/>
                <w:color w:val="000000"/>
                <w:sz w:val="18"/>
              </w:rPr>
            </w:pPr>
            <w:r w:rsidRPr="001623F0">
              <w:rPr>
                <w:rFonts w:asciiTheme="majorHAnsi" w:hAnsiTheme="majorHAnsi" w:cstheme="majorHAnsi"/>
                <w:color w:val="000000"/>
                <w:sz w:val="18"/>
              </w:rPr>
              <w:t>Regulating services</w:t>
            </w:r>
          </w:p>
        </w:tc>
        <w:tc>
          <w:tcPr>
            <w:tcW w:w="2589" w:type="dxa"/>
            <w:tcBorders>
              <w:top w:val="nil"/>
              <w:left w:val="nil"/>
              <w:bottom w:val="single" w:sz="4" w:space="0" w:color="auto"/>
              <w:right w:val="nil"/>
            </w:tcBorders>
            <w:shd w:val="clear" w:color="auto" w:fill="B5B5B5" w:themeFill="background2" w:themeFillShade="BF"/>
            <w:noWrap/>
            <w:vAlign w:val="center"/>
          </w:tcPr>
          <w:p w14:paraId="10D712EB"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nil"/>
              <w:left w:val="nil"/>
              <w:bottom w:val="single" w:sz="4" w:space="0" w:color="auto"/>
              <w:right w:val="nil"/>
            </w:tcBorders>
            <w:shd w:val="clear" w:color="auto" w:fill="B5B5B5" w:themeFill="background2" w:themeFillShade="BF"/>
            <w:vAlign w:val="center"/>
          </w:tcPr>
          <w:p w14:paraId="25FD70BA" w14:textId="77777777" w:rsidR="00E4147A" w:rsidRPr="001623F0" w:rsidRDefault="00E4147A" w:rsidP="003C263A">
            <w:pPr>
              <w:spacing w:after="0"/>
              <w:jc w:val="left"/>
              <w:rPr>
                <w:rFonts w:asciiTheme="majorHAnsi" w:hAnsiTheme="majorHAnsi" w:cstheme="majorHAnsi"/>
                <w:color w:val="000000"/>
                <w:sz w:val="18"/>
              </w:rPr>
            </w:pPr>
            <w:r w:rsidRPr="000A325E">
              <w:rPr>
                <w:rFonts w:asciiTheme="majorHAnsi" w:hAnsiTheme="majorHAnsi" w:cstheme="majorHAnsi"/>
                <w:color w:val="000000"/>
                <w:sz w:val="18"/>
              </w:rPr>
              <w:t> </w:t>
            </w:r>
          </w:p>
        </w:tc>
        <w:tc>
          <w:tcPr>
            <w:tcW w:w="2589" w:type="dxa"/>
            <w:tcBorders>
              <w:top w:val="nil"/>
              <w:left w:val="nil"/>
              <w:bottom w:val="single" w:sz="4" w:space="0" w:color="auto"/>
              <w:right w:val="nil"/>
            </w:tcBorders>
            <w:shd w:val="clear" w:color="auto" w:fill="B5B5B5" w:themeFill="background2" w:themeFillShade="BF"/>
            <w:noWrap/>
            <w:vAlign w:val="center"/>
            <w:hideMark/>
          </w:tcPr>
          <w:p w14:paraId="02DFC045"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nil"/>
              <w:left w:val="nil"/>
              <w:bottom w:val="single" w:sz="4" w:space="0" w:color="auto"/>
              <w:right w:val="nil"/>
            </w:tcBorders>
            <w:shd w:val="clear" w:color="auto" w:fill="B5B5B5" w:themeFill="background2" w:themeFillShade="BF"/>
            <w:noWrap/>
            <w:vAlign w:val="center"/>
            <w:hideMark/>
          </w:tcPr>
          <w:p w14:paraId="5CDFD0AF" w14:textId="77777777" w:rsidR="00E4147A" w:rsidRPr="001623F0" w:rsidRDefault="00E4147A" w:rsidP="00890B17">
            <w:pPr>
              <w:spacing w:after="0"/>
              <w:jc w:val="right"/>
              <w:rPr>
                <w:rFonts w:asciiTheme="majorHAnsi" w:hAnsiTheme="majorHAnsi" w:cstheme="majorHAnsi"/>
                <w:color w:val="000000"/>
                <w:sz w:val="18"/>
              </w:rPr>
            </w:pPr>
          </w:p>
        </w:tc>
      </w:tr>
      <w:tr w:rsidR="00E4147A" w:rsidRPr="001623F0" w14:paraId="425022BA" w14:textId="77777777" w:rsidTr="00313920">
        <w:trPr>
          <w:trHeight w:val="508"/>
        </w:trPr>
        <w:tc>
          <w:tcPr>
            <w:tcW w:w="4229" w:type="dxa"/>
            <w:tcBorders>
              <w:top w:val="single" w:sz="4" w:space="0" w:color="auto"/>
              <w:left w:val="single" w:sz="4" w:space="0" w:color="auto"/>
              <w:bottom w:val="single" w:sz="4" w:space="0" w:color="auto"/>
              <w:right w:val="single" w:sz="4" w:space="0" w:color="auto"/>
            </w:tcBorders>
            <w:vAlign w:val="center"/>
            <w:hideMark/>
          </w:tcPr>
          <w:p w14:paraId="033DF13E" w14:textId="77777777" w:rsidR="00E4147A" w:rsidRPr="00CB5158" w:rsidRDefault="00E4147A" w:rsidP="00890B17">
            <w:pPr>
              <w:spacing w:after="0"/>
              <w:rPr>
                <w:rFonts w:cstheme="majorHAnsi"/>
                <w:color w:val="000000"/>
                <w:sz w:val="18"/>
              </w:rPr>
            </w:pPr>
            <w:r w:rsidRPr="00CB5158">
              <w:rPr>
                <w:rFonts w:cstheme="majorHAnsi"/>
                <w:color w:val="000000"/>
                <w:sz w:val="18"/>
              </w:rPr>
              <w:t>Air pollution regulating</w:t>
            </w:r>
          </w:p>
        </w:tc>
        <w:tc>
          <w:tcPr>
            <w:tcW w:w="2589" w:type="dxa"/>
            <w:tcBorders>
              <w:top w:val="nil"/>
              <w:left w:val="nil"/>
              <w:bottom w:val="single" w:sz="4" w:space="0" w:color="auto"/>
              <w:right w:val="single" w:sz="4" w:space="0" w:color="auto"/>
            </w:tcBorders>
            <w:noWrap/>
            <w:vAlign w:val="center"/>
          </w:tcPr>
          <w:p w14:paraId="7A5C8FDE"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9.96 (PM2.5), 8.16 (SO</w:t>
            </w:r>
            <w:r w:rsidRPr="00CB5158">
              <w:rPr>
                <w:rFonts w:cstheme="majorHAnsi"/>
                <w:color w:val="000000"/>
                <w:sz w:val="18"/>
                <w:vertAlign w:val="subscript"/>
              </w:rPr>
              <w:t>2</w:t>
            </w:r>
            <w:r w:rsidRPr="00CB5158">
              <w:rPr>
                <w:rFonts w:cstheme="majorHAnsi"/>
                <w:color w:val="000000"/>
                <w:sz w:val="18"/>
              </w:rPr>
              <w:t xml:space="preserve">), </w:t>
            </w:r>
          </w:p>
          <w:p w14:paraId="4C082845"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3.36 (NO</w:t>
            </w:r>
            <w:r w:rsidRPr="00CB5158">
              <w:rPr>
                <w:rFonts w:cstheme="majorHAnsi"/>
                <w:color w:val="000000"/>
                <w:sz w:val="18"/>
                <w:vertAlign w:val="subscript"/>
              </w:rPr>
              <w:t>2</w:t>
            </w:r>
            <w:r w:rsidRPr="00CB5158">
              <w:rPr>
                <w:rFonts w:cstheme="majorHAnsi"/>
                <w:color w:val="000000"/>
                <w:sz w:val="18"/>
              </w:rPr>
              <w:t>), 213.66 (O</w:t>
            </w:r>
            <w:r w:rsidRPr="00CB5158">
              <w:rPr>
                <w:rFonts w:cstheme="majorHAnsi"/>
                <w:color w:val="000000"/>
                <w:sz w:val="18"/>
                <w:vertAlign w:val="subscript"/>
              </w:rPr>
              <w:t>3</w:t>
            </w:r>
            <w:r w:rsidRPr="00CB5158">
              <w:rPr>
                <w:rFonts w:cstheme="majorHAnsi"/>
                <w:color w:val="000000"/>
                <w:sz w:val="18"/>
              </w:rPr>
              <w:t xml:space="preserve">) </w:t>
            </w:r>
          </w:p>
        </w:tc>
        <w:tc>
          <w:tcPr>
            <w:tcW w:w="2590" w:type="dxa"/>
            <w:tcBorders>
              <w:top w:val="nil"/>
              <w:left w:val="nil"/>
              <w:bottom w:val="single" w:sz="4" w:space="0" w:color="auto"/>
              <w:right w:val="single" w:sz="4" w:space="0" w:color="auto"/>
            </w:tcBorders>
            <w:vAlign w:val="center"/>
          </w:tcPr>
          <w:p w14:paraId="6FFDA9C4" w14:textId="55627A5E" w:rsidR="00E4147A" w:rsidRPr="00CB5158" w:rsidRDefault="006317CC" w:rsidP="003C263A">
            <w:pPr>
              <w:spacing w:after="0"/>
              <w:jc w:val="left"/>
              <w:rPr>
                <w:rFonts w:cstheme="majorHAnsi"/>
                <w:color w:val="000000"/>
                <w:sz w:val="18"/>
              </w:rPr>
            </w:pPr>
            <w:r w:rsidRPr="00CB5158">
              <w:rPr>
                <w:rFonts w:cstheme="majorHAnsi"/>
                <w:color w:val="000000"/>
                <w:sz w:val="18"/>
              </w:rPr>
              <w:t>T</w:t>
            </w:r>
            <w:r w:rsidR="00E4147A" w:rsidRPr="00CB5158">
              <w:rPr>
                <w:rFonts w:cstheme="majorHAnsi"/>
                <w:color w:val="000000"/>
                <w:sz w:val="18"/>
              </w:rPr>
              <w:t>onnes</w:t>
            </w:r>
          </w:p>
        </w:tc>
        <w:tc>
          <w:tcPr>
            <w:tcW w:w="2589" w:type="dxa"/>
            <w:tcBorders>
              <w:top w:val="nil"/>
              <w:left w:val="nil"/>
              <w:bottom w:val="single" w:sz="4" w:space="0" w:color="auto"/>
              <w:right w:val="single" w:sz="4" w:space="0" w:color="auto"/>
            </w:tcBorders>
            <w:noWrap/>
            <w:vAlign w:val="center"/>
            <w:hideMark/>
          </w:tcPr>
          <w:p w14:paraId="0F16751F" w14:textId="77777777" w:rsidR="00E4147A" w:rsidRPr="00CB5158" w:rsidRDefault="00E4147A" w:rsidP="00890B17">
            <w:pPr>
              <w:spacing w:after="0"/>
              <w:jc w:val="right"/>
              <w:rPr>
                <w:rFonts w:cstheme="majorHAnsi"/>
                <w:color w:val="000000"/>
                <w:sz w:val="18"/>
              </w:rPr>
            </w:pPr>
            <w:r w:rsidRPr="00CB5158">
              <w:rPr>
                <w:rFonts w:cstheme="majorHAnsi"/>
                <w:sz w:val="18"/>
              </w:rPr>
              <w:t>£1.21m</w:t>
            </w:r>
          </w:p>
        </w:tc>
        <w:tc>
          <w:tcPr>
            <w:tcW w:w="2590" w:type="dxa"/>
            <w:tcBorders>
              <w:top w:val="nil"/>
              <w:left w:val="nil"/>
              <w:bottom w:val="single" w:sz="4" w:space="0" w:color="auto"/>
              <w:right w:val="single" w:sz="4" w:space="0" w:color="auto"/>
            </w:tcBorders>
            <w:noWrap/>
            <w:vAlign w:val="center"/>
            <w:hideMark/>
          </w:tcPr>
          <w:p w14:paraId="6B97CF3F" w14:textId="77777777" w:rsidR="00E4147A" w:rsidRPr="00CB5158" w:rsidRDefault="00E4147A" w:rsidP="00890B17">
            <w:pPr>
              <w:spacing w:after="0"/>
              <w:jc w:val="right"/>
              <w:rPr>
                <w:rFonts w:cstheme="majorHAnsi"/>
                <w:color w:val="000000"/>
                <w:sz w:val="18"/>
              </w:rPr>
            </w:pPr>
            <w:r w:rsidRPr="00CB5158">
              <w:rPr>
                <w:rFonts w:cstheme="majorHAnsi"/>
                <w:sz w:val="18"/>
              </w:rPr>
              <w:t>£65.92m</w:t>
            </w:r>
          </w:p>
        </w:tc>
      </w:tr>
      <w:tr w:rsidR="00E4147A" w:rsidRPr="001623F0" w14:paraId="45771F18" w14:textId="77777777" w:rsidTr="00313920">
        <w:trPr>
          <w:trHeight w:val="508"/>
        </w:trPr>
        <w:tc>
          <w:tcPr>
            <w:tcW w:w="4229" w:type="dxa"/>
            <w:tcBorders>
              <w:top w:val="nil"/>
              <w:left w:val="single" w:sz="4" w:space="0" w:color="auto"/>
              <w:bottom w:val="single" w:sz="4" w:space="0" w:color="auto"/>
              <w:right w:val="single" w:sz="4" w:space="0" w:color="auto"/>
            </w:tcBorders>
            <w:vAlign w:val="center"/>
            <w:hideMark/>
          </w:tcPr>
          <w:p w14:paraId="175107A6" w14:textId="7EDACEB2" w:rsidR="00E4147A" w:rsidRPr="00CB5158" w:rsidRDefault="00E4147A" w:rsidP="00890B17">
            <w:pPr>
              <w:spacing w:after="0"/>
              <w:rPr>
                <w:rFonts w:cstheme="majorHAnsi"/>
                <w:color w:val="000000"/>
                <w:sz w:val="18"/>
              </w:rPr>
            </w:pPr>
            <w:r w:rsidRPr="00CB5158">
              <w:rPr>
                <w:rFonts w:cstheme="majorHAnsi"/>
                <w:color w:val="000000"/>
                <w:sz w:val="18"/>
              </w:rPr>
              <w:t>Greenhouse gas regulating</w:t>
            </w:r>
          </w:p>
        </w:tc>
        <w:tc>
          <w:tcPr>
            <w:tcW w:w="2589" w:type="dxa"/>
            <w:tcBorders>
              <w:top w:val="nil"/>
              <w:left w:val="nil"/>
              <w:bottom w:val="single" w:sz="4" w:space="0" w:color="auto"/>
              <w:right w:val="single" w:sz="4" w:space="0" w:color="auto"/>
            </w:tcBorders>
            <w:noWrap/>
            <w:vAlign w:val="center"/>
          </w:tcPr>
          <w:p w14:paraId="1A9F2920"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20,396</w:t>
            </w:r>
          </w:p>
        </w:tc>
        <w:tc>
          <w:tcPr>
            <w:tcW w:w="2590" w:type="dxa"/>
            <w:tcBorders>
              <w:top w:val="nil"/>
              <w:left w:val="nil"/>
              <w:bottom w:val="single" w:sz="4" w:space="0" w:color="auto"/>
              <w:right w:val="single" w:sz="4" w:space="0" w:color="auto"/>
            </w:tcBorders>
            <w:vAlign w:val="center"/>
          </w:tcPr>
          <w:p w14:paraId="66F95E7B" w14:textId="396606BC" w:rsidR="00E4147A" w:rsidRPr="00CB5158" w:rsidRDefault="006317CC" w:rsidP="003C263A">
            <w:pPr>
              <w:spacing w:after="0"/>
              <w:jc w:val="left"/>
              <w:rPr>
                <w:rFonts w:cstheme="majorHAnsi"/>
                <w:color w:val="000000"/>
                <w:sz w:val="18"/>
              </w:rPr>
            </w:pPr>
            <w:r w:rsidRPr="00CB5158">
              <w:rPr>
                <w:rFonts w:cstheme="majorHAnsi"/>
                <w:color w:val="000000"/>
                <w:sz w:val="18"/>
              </w:rPr>
              <w:t>T</w:t>
            </w:r>
            <w:r w:rsidR="00E4147A" w:rsidRPr="00CB5158">
              <w:rPr>
                <w:rFonts w:cstheme="majorHAnsi"/>
                <w:color w:val="000000"/>
                <w:sz w:val="18"/>
              </w:rPr>
              <w:t>onnes</w:t>
            </w:r>
          </w:p>
        </w:tc>
        <w:tc>
          <w:tcPr>
            <w:tcW w:w="2589" w:type="dxa"/>
            <w:tcBorders>
              <w:top w:val="nil"/>
              <w:left w:val="nil"/>
              <w:bottom w:val="single" w:sz="4" w:space="0" w:color="auto"/>
              <w:right w:val="single" w:sz="4" w:space="0" w:color="auto"/>
            </w:tcBorders>
            <w:noWrap/>
            <w:vAlign w:val="center"/>
            <w:hideMark/>
          </w:tcPr>
          <w:p w14:paraId="3150517D" w14:textId="77777777" w:rsidR="00E4147A" w:rsidRPr="00CB5158" w:rsidRDefault="00E4147A" w:rsidP="00890B17">
            <w:pPr>
              <w:spacing w:after="0"/>
              <w:jc w:val="right"/>
              <w:rPr>
                <w:rFonts w:cstheme="majorHAnsi"/>
                <w:color w:val="000000"/>
                <w:sz w:val="18"/>
              </w:rPr>
            </w:pPr>
            <w:r w:rsidRPr="00CB5158">
              <w:rPr>
                <w:rFonts w:cstheme="majorHAnsi"/>
                <w:sz w:val="18"/>
              </w:rPr>
              <w:t>£5.79m</w:t>
            </w:r>
          </w:p>
        </w:tc>
        <w:tc>
          <w:tcPr>
            <w:tcW w:w="2590" w:type="dxa"/>
            <w:tcBorders>
              <w:top w:val="nil"/>
              <w:left w:val="nil"/>
              <w:bottom w:val="single" w:sz="4" w:space="0" w:color="auto"/>
              <w:right w:val="single" w:sz="4" w:space="0" w:color="auto"/>
            </w:tcBorders>
            <w:noWrap/>
            <w:vAlign w:val="center"/>
            <w:hideMark/>
          </w:tcPr>
          <w:p w14:paraId="715300E6" w14:textId="77777777" w:rsidR="00E4147A" w:rsidRPr="00CB5158" w:rsidRDefault="00E4147A" w:rsidP="00890B17">
            <w:pPr>
              <w:spacing w:after="0"/>
              <w:jc w:val="right"/>
              <w:rPr>
                <w:rFonts w:cstheme="majorHAnsi"/>
                <w:color w:val="000000"/>
                <w:sz w:val="18"/>
              </w:rPr>
            </w:pPr>
            <w:r w:rsidRPr="00CB5158">
              <w:rPr>
                <w:rFonts w:cstheme="majorHAnsi"/>
                <w:sz w:val="18"/>
              </w:rPr>
              <w:t>£279.00m</w:t>
            </w:r>
          </w:p>
        </w:tc>
      </w:tr>
      <w:tr w:rsidR="00E4147A" w:rsidRPr="001623F0" w14:paraId="7A82052D"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05F0A334" w14:textId="77777777" w:rsidR="00E4147A" w:rsidRPr="00CB5158" w:rsidRDefault="00E4147A" w:rsidP="00890B17">
            <w:pPr>
              <w:spacing w:after="0"/>
              <w:rPr>
                <w:rFonts w:cstheme="majorHAnsi"/>
                <w:color w:val="000000"/>
                <w:sz w:val="18"/>
              </w:rPr>
            </w:pPr>
            <w:r w:rsidRPr="00CB5158">
              <w:rPr>
                <w:rFonts w:cstheme="majorHAnsi"/>
                <w:color w:val="000000"/>
                <w:sz w:val="18"/>
              </w:rPr>
              <w:t>Urban heat regulating</w:t>
            </w:r>
          </w:p>
        </w:tc>
        <w:tc>
          <w:tcPr>
            <w:tcW w:w="2589" w:type="dxa"/>
            <w:tcBorders>
              <w:top w:val="nil"/>
              <w:left w:val="nil"/>
              <w:bottom w:val="single" w:sz="4" w:space="0" w:color="auto"/>
              <w:right w:val="single" w:sz="4" w:space="0" w:color="auto"/>
            </w:tcBorders>
            <w:noWrap/>
            <w:vAlign w:val="center"/>
          </w:tcPr>
          <w:p w14:paraId="7BB1C04D"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N/A</w:t>
            </w:r>
          </w:p>
        </w:tc>
        <w:tc>
          <w:tcPr>
            <w:tcW w:w="2590" w:type="dxa"/>
            <w:tcBorders>
              <w:top w:val="nil"/>
              <w:left w:val="nil"/>
              <w:bottom w:val="single" w:sz="4" w:space="0" w:color="auto"/>
              <w:right w:val="single" w:sz="4" w:space="0" w:color="auto"/>
            </w:tcBorders>
            <w:vAlign w:val="center"/>
          </w:tcPr>
          <w:p w14:paraId="6D2B55F0"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N/A</w:t>
            </w:r>
          </w:p>
        </w:tc>
        <w:tc>
          <w:tcPr>
            <w:tcW w:w="2589" w:type="dxa"/>
            <w:tcBorders>
              <w:top w:val="nil"/>
              <w:left w:val="nil"/>
              <w:bottom w:val="single" w:sz="4" w:space="0" w:color="auto"/>
              <w:right w:val="single" w:sz="4" w:space="0" w:color="auto"/>
            </w:tcBorders>
            <w:noWrap/>
            <w:vAlign w:val="center"/>
          </w:tcPr>
          <w:p w14:paraId="5C56F41D" w14:textId="77777777" w:rsidR="00E4147A" w:rsidRPr="00CB5158" w:rsidRDefault="00E4147A" w:rsidP="00890B17">
            <w:pPr>
              <w:spacing w:after="0"/>
              <w:jc w:val="right"/>
              <w:rPr>
                <w:rFonts w:cstheme="majorHAnsi"/>
                <w:sz w:val="18"/>
              </w:rPr>
            </w:pPr>
            <w:r w:rsidRPr="00CB5158">
              <w:rPr>
                <w:rFonts w:cstheme="majorHAnsi"/>
                <w:sz w:val="18"/>
              </w:rPr>
              <w:t>£14.41m</w:t>
            </w:r>
          </w:p>
        </w:tc>
        <w:tc>
          <w:tcPr>
            <w:tcW w:w="2590" w:type="dxa"/>
            <w:tcBorders>
              <w:top w:val="nil"/>
              <w:left w:val="nil"/>
              <w:bottom w:val="single" w:sz="4" w:space="0" w:color="auto"/>
              <w:right w:val="single" w:sz="4" w:space="0" w:color="auto"/>
            </w:tcBorders>
            <w:noWrap/>
            <w:vAlign w:val="center"/>
          </w:tcPr>
          <w:p w14:paraId="0EDFE630" w14:textId="77777777" w:rsidR="00E4147A" w:rsidRPr="00CB5158" w:rsidRDefault="00E4147A" w:rsidP="00890B17">
            <w:pPr>
              <w:spacing w:after="0"/>
              <w:jc w:val="right"/>
              <w:rPr>
                <w:rFonts w:cstheme="majorHAnsi"/>
                <w:sz w:val="18"/>
              </w:rPr>
            </w:pPr>
            <w:r w:rsidRPr="00CB5158">
              <w:rPr>
                <w:rFonts w:cstheme="majorHAnsi"/>
                <w:sz w:val="18"/>
              </w:rPr>
              <w:t>£1,077.07m</w:t>
            </w:r>
          </w:p>
        </w:tc>
      </w:tr>
      <w:tr w:rsidR="00E4147A" w:rsidRPr="001623F0" w14:paraId="225674AA" w14:textId="77777777" w:rsidTr="00313920">
        <w:trPr>
          <w:trHeight w:val="226"/>
        </w:trPr>
        <w:tc>
          <w:tcPr>
            <w:tcW w:w="4229" w:type="dxa"/>
            <w:tcBorders>
              <w:top w:val="single" w:sz="4" w:space="0" w:color="auto"/>
              <w:left w:val="single" w:sz="4" w:space="0" w:color="auto"/>
              <w:bottom w:val="single" w:sz="4" w:space="0" w:color="auto"/>
              <w:right w:val="nil"/>
            </w:tcBorders>
            <w:shd w:val="clear" w:color="auto" w:fill="B5B5B5" w:themeFill="background2" w:themeFillShade="BF"/>
            <w:noWrap/>
            <w:vAlign w:val="center"/>
            <w:hideMark/>
          </w:tcPr>
          <w:p w14:paraId="690D8642" w14:textId="77777777" w:rsidR="00E4147A" w:rsidRPr="001623F0" w:rsidRDefault="00E4147A" w:rsidP="00890B17">
            <w:pPr>
              <w:spacing w:after="0"/>
              <w:rPr>
                <w:rFonts w:asciiTheme="majorHAnsi" w:hAnsiTheme="majorHAnsi" w:cstheme="majorHAnsi"/>
                <w:color w:val="000000"/>
                <w:sz w:val="18"/>
              </w:rPr>
            </w:pPr>
            <w:r w:rsidRPr="001623F0">
              <w:rPr>
                <w:rFonts w:asciiTheme="majorHAnsi" w:hAnsiTheme="majorHAnsi" w:cstheme="majorHAnsi"/>
                <w:color w:val="000000"/>
                <w:sz w:val="18"/>
              </w:rPr>
              <w:t>Cultural services</w:t>
            </w:r>
          </w:p>
        </w:tc>
        <w:tc>
          <w:tcPr>
            <w:tcW w:w="2589" w:type="dxa"/>
            <w:tcBorders>
              <w:top w:val="nil"/>
              <w:left w:val="nil"/>
              <w:bottom w:val="single" w:sz="4" w:space="0" w:color="auto"/>
              <w:right w:val="nil"/>
            </w:tcBorders>
            <w:shd w:val="clear" w:color="auto" w:fill="B5B5B5" w:themeFill="background2" w:themeFillShade="BF"/>
            <w:noWrap/>
            <w:vAlign w:val="center"/>
          </w:tcPr>
          <w:p w14:paraId="46E47601"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nil"/>
              <w:left w:val="nil"/>
              <w:bottom w:val="single" w:sz="4" w:space="0" w:color="auto"/>
              <w:right w:val="nil"/>
            </w:tcBorders>
            <w:shd w:val="clear" w:color="auto" w:fill="B5B5B5" w:themeFill="background2" w:themeFillShade="BF"/>
            <w:vAlign w:val="center"/>
          </w:tcPr>
          <w:p w14:paraId="458FF102" w14:textId="77777777" w:rsidR="00E4147A" w:rsidRPr="001623F0" w:rsidRDefault="00E4147A" w:rsidP="003C263A">
            <w:pPr>
              <w:spacing w:after="0"/>
              <w:jc w:val="left"/>
              <w:rPr>
                <w:rFonts w:asciiTheme="majorHAnsi" w:hAnsiTheme="majorHAnsi" w:cstheme="majorHAnsi"/>
                <w:color w:val="000000"/>
                <w:sz w:val="18"/>
              </w:rPr>
            </w:pPr>
          </w:p>
        </w:tc>
        <w:tc>
          <w:tcPr>
            <w:tcW w:w="2589" w:type="dxa"/>
            <w:tcBorders>
              <w:top w:val="nil"/>
              <w:left w:val="nil"/>
              <w:bottom w:val="single" w:sz="4" w:space="0" w:color="auto"/>
              <w:right w:val="nil"/>
            </w:tcBorders>
            <w:shd w:val="clear" w:color="auto" w:fill="B5B5B5" w:themeFill="background2" w:themeFillShade="BF"/>
            <w:noWrap/>
            <w:vAlign w:val="center"/>
            <w:hideMark/>
          </w:tcPr>
          <w:p w14:paraId="16AC3A43"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nil"/>
              <w:left w:val="nil"/>
              <w:bottom w:val="single" w:sz="4" w:space="0" w:color="auto"/>
              <w:right w:val="nil"/>
            </w:tcBorders>
            <w:shd w:val="clear" w:color="auto" w:fill="B5B5B5" w:themeFill="background2" w:themeFillShade="BF"/>
            <w:noWrap/>
            <w:vAlign w:val="center"/>
            <w:hideMark/>
          </w:tcPr>
          <w:p w14:paraId="6843D582" w14:textId="77777777" w:rsidR="00E4147A" w:rsidRPr="001623F0" w:rsidRDefault="00E4147A" w:rsidP="00890B17">
            <w:pPr>
              <w:spacing w:after="0"/>
              <w:jc w:val="right"/>
              <w:rPr>
                <w:rFonts w:asciiTheme="majorHAnsi" w:hAnsiTheme="majorHAnsi" w:cstheme="majorHAnsi"/>
                <w:color w:val="000000"/>
                <w:sz w:val="18"/>
              </w:rPr>
            </w:pPr>
          </w:p>
        </w:tc>
      </w:tr>
      <w:tr w:rsidR="00E4147A" w:rsidRPr="001623F0" w14:paraId="1C2D2AF2" w14:textId="77777777" w:rsidTr="00313920">
        <w:trPr>
          <w:trHeight w:val="508"/>
        </w:trPr>
        <w:tc>
          <w:tcPr>
            <w:tcW w:w="4229" w:type="dxa"/>
            <w:tcBorders>
              <w:top w:val="single" w:sz="4" w:space="0" w:color="auto"/>
              <w:left w:val="single" w:sz="4" w:space="0" w:color="auto"/>
              <w:bottom w:val="single" w:sz="4" w:space="0" w:color="auto"/>
              <w:right w:val="single" w:sz="4" w:space="0" w:color="auto"/>
            </w:tcBorders>
            <w:vAlign w:val="center"/>
          </w:tcPr>
          <w:p w14:paraId="69C66217" w14:textId="01F98AE1" w:rsidR="00E4147A" w:rsidRPr="00CB5158" w:rsidRDefault="00E4147A" w:rsidP="00890B17">
            <w:pPr>
              <w:spacing w:after="0"/>
              <w:rPr>
                <w:rFonts w:cstheme="majorHAnsi"/>
                <w:color w:val="000000"/>
                <w:sz w:val="18"/>
              </w:rPr>
            </w:pPr>
            <w:r w:rsidRPr="00CB5158">
              <w:rPr>
                <w:rFonts w:cstheme="majorHAnsi"/>
                <w:color w:val="000000"/>
                <w:sz w:val="18"/>
              </w:rPr>
              <w:t>Recreation (enjoyment benefits)</w:t>
            </w:r>
          </w:p>
        </w:tc>
        <w:tc>
          <w:tcPr>
            <w:tcW w:w="2589" w:type="dxa"/>
            <w:tcBorders>
              <w:top w:val="nil"/>
              <w:left w:val="nil"/>
              <w:bottom w:val="single" w:sz="4" w:space="0" w:color="auto"/>
              <w:right w:val="single" w:sz="4" w:space="0" w:color="auto"/>
            </w:tcBorders>
            <w:noWrap/>
            <w:vAlign w:val="center"/>
          </w:tcPr>
          <w:p w14:paraId="7AADFF5E"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389,100,082</w:t>
            </w:r>
          </w:p>
        </w:tc>
        <w:tc>
          <w:tcPr>
            <w:tcW w:w="2590" w:type="dxa"/>
            <w:tcBorders>
              <w:top w:val="nil"/>
              <w:left w:val="nil"/>
              <w:bottom w:val="single" w:sz="4" w:space="0" w:color="auto"/>
              <w:right w:val="single" w:sz="4" w:space="0" w:color="auto"/>
            </w:tcBorders>
            <w:vAlign w:val="center"/>
          </w:tcPr>
          <w:p w14:paraId="002AB263"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visits (&lt;3 hours, non-active, non-volunteer living &gt;100m away)</w:t>
            </w:r>
          </w:p>
        </w:tc>
        <w:tc>
          <w:tcPr>
            <w:tcW w:w="2589" w:type="dxa"/>
            <w:tcBorders>
              <w:top w:val="nil"/>
              <w:left w:val="nil"/>
              <w:bottom w:val="single" w:sz="4" w:space="0" w:color="auto"/>
              <w:right w:val="single" w:sz="4" w:space="0" w:color="auto"/>
            </w:tcBorders>
            <w:noWrap/>
            <w:vAlign w:val="center"/>
          </w:tcPr>
          <w:p w14:paraId="7ECECE72" w14:textId="012C509A" w:rsidR="00E4147A" w:rsidRPr="00CB5158" w:rsidRDefault="00E4147A" w:rsidP="00890B17">
            <w:pPr>
              <w:spacing w:after="0"/>
              <w:jc w:val="right"/>
              <w:rPr>
                <w:rFonts w:cstheme="majorBidi"/>
                <w:color w:val="000000"/>
                <w:sz w:val="18"/>
              </w:rPr>
            </w:pPr>
            <w:r w:rsidRPr="00CB5158">
              <w:rPr>
                <w:rFonts w:cstheme="majorBidi"/>
                <w:sz w:val="18"/>
              </w:rPr>
              <w:t>£1,494.14m</w:t>
            </w:r>
          </w:p>
        </w:tc>
        <w:tc>
          <w:tcPr>
            <w:tcW w:w="2590" w:type="dxa"/>
            <w:tcBorders>
              <w:top w:val="nil"/>
              <w:left w:val="nil"/>
              <w:bottom w:val="single" w:sz="4" w:space="0" w:color="auto"/>
              <w:right w:val="single" w:sz="4" w:space="0" w:color="auto"/>
            </w:tcBorders>
            <w:noWrap/>
            <w:vAlign w:val="center"/>
          </w:tcPr>
          <w:p w14:paraId="5ED2E9A7" w14:textId="6C0BC67B" w:rsidR="00E4147A" w:rsidRPr="00CB5158" w:rsidRDefault="00E4147A" w:rsidP="00890B17">
            <w:pPr>
              <w:spacing w:after="0"/>
              <w:jc w:val="right"/>
              <w:rPr>
                <w:rFonts w:cstheme="majorHAnsi"/>
                <w:color w:val="000000"/>
                <w:sz w:val="18"/>
              </w:rPr>
            </w:pPr>
            <w:r w:rsidRPr="00CB5158">
              <w:rPr>
                <w:rFonts w:cstheme="majorHAnsi"/>
                <w:sz w:val="18"/>
              </w:rPr>
              <w:t>£44,620.17m</w:t>
            </w:r>
          </w:p>
        </w:tc>
      </w:tr>
      <w:tr w:rsidR="00E4147A" w:rsidRPr="001623F0" w14:paraId="05F5688B"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0BD552DE" w14:textId="77777777" w:rsidR="00E4147A" w:rsidRPr="00CB5158" w:rsidRDefault="00E4147A" w:rsidP="00890B17">
            <w:pPr>
              <w:spacing w:after="0"/>
              <w:rPr>
                <w:rFonts w:cstheme="majorHAnsi"/>
                <w:color w:val="000000"/>
                <w:sz w:val="18"/>
              </w:rPr>
            </w:pPr>
            <w:r w:rsidRPr="00CB5158">
              <w:rPr>
                <w:rFonts w:cstheme="majorHAnsi"/>
                <w:color w:val="000000"/>
                <w:sz w:val="18"/>
              </w:rPr>
              <w:t>Recreation (health cost savings)</w:t>
            </w:r>
          </w:p>
        </w:tc>
        <w:tc>
          <w:tcPr>
            <w:tcW w:w="2589" w:type="dxa"/>
            <w:tcBorders>
              <w:top w:val="nil"/>
              <w:left w:val="nil"/>
              <w:bottom w:val="single" w:sz="4" w:space="0" w:color="auto"/>
              <w:right w:val="single" w:sz="4" w:space="0" w:color="auto"/>
            </w:tcBorders>
            <w:noWrap/>
            <w:vAlign w:val="center"/>
          </w:tcPr>
          <w:p w14:paraId="11D8D708"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323,095,712</w:t>
            </w:r>
          </w:p>
        </w:tc>
        <w:tc>
          <w:tcPr>
            <w:tcW w:w="2590" w:type="dxa"/>
            <w:tcBorders>
              <w:top w:val="nil"/>
              <w:left w:val="nil"/>
              <w:bottom w:val="single" w:sz="4" w:space="0" w:color="auto"/>
              <w:right w:val="single" w:sz="4" w:space="0" w:color="auto"/>
            </w:tcBorders>
            <w:vAlign w:val="center"/>
          </w:tcPr>
          <w:p w14:paraId="46BE1337"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active visits</w:t>
            </w:r>
          </w:p>
        </w:tc>
        <w:tc>
          <w:tcPr>
            <w:tcW w:w="2589" w:type="dxa"/>
            <w:tcBorders>
              <w:top w:val="nil"/>
              <w:left w:val="nil"/>
              <w:bottom w:val="single" w:sz="4" w:space="0" w:color="auto"/>
              <w:right w:val="single" w:sz="4" w:space="0" w:color="auto"/>
            </w:tcBorders>
            <w:noWrap/>
            <w:vAlign w:val="center"/>
          </w:tcPr>
          <w:p w14:paraId="1F9D6ECD" w14:textId="77777777" w:rsidR="00E4147A" w:rsidRPr="00CB5158" w:rsidRDefault="00E4147A" w:rsidP="00890B17">
            <w:pPr>
              <w:spacing w:after="0"/>
              <w:jc w:val="right"/>
              <w:rPr>
                <w:rFonts w:cstheme="majorHAnsi"/>
                <w:color w:val="000000"/>
                <w:sz w:val="18"/>
              </w:rPr>
            </w:pPr>
            <w:r w:rsidRPr="00CB5158">
              <w:rPr>
                <w:rFonts w:cstheme="majorHAnsi"/>
                <w:sz w:val="18"/>
              </w:rPr>
              <w:t>£1,198.69m</w:t>
            </w:r>
          </w:p>
        </w:tc>
        <w:tc>
          <w:tcPr>
            <w:tcW w:w="2590" w:type="dxa"/>
            <w:tcBorders>
              <w:top w:val="nil"/>
              <w:left w:val="nil"/>
              <w:bottom w:val="single" w:sz="4" w:space="0" w:color="auto"/>
              <w:right w:val="single" w:sz="4" w:space="0" w:color="auto"/>
            </w:tcBorders>
            <w:noWrap/>
            <w:vAlign w:val="center"/>
          </w:tcPr>
          <w:p w14:paraId="75B062C5" w14:textId="77777777" w:rsidR="00E4147A" w:rsidRPr="00CB5158" w:rsidRDefault="00E4147A" w:rsidP="00890B17">
            <w:pPr>
              <w:spacing w:after="0"/>
              <w:jc w:val="right"/>
              <w:rPr>
                <w:rFonts w:cstheme="majorHAnsi"/>
                <w:color w:val="000000"/>
                <w:sz w:val="18"/>
              </w:rPr>
            </w:pPr>
            <w:r w:rsidRPr="00CB5158">
              <w:rPr>
                <w:rFonts w:cstheme="majorHAnsi"/>
                <w:sz w:val="18"/>
              </w:rPr>
              <w:t>£35,796.77m</w:t>
            </w:r>
          </w:p>
        </w:tc>
      </w:tr>
      <w:tr w:rsidR="00E4147A" w:rsidRPr="001623F0" w14:paraId="33CED95F"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32B84F73" w14:textId="77777777" w:rsidR="00E4147A" w:rsidRPr="00CB5158" w:rsidRDefault="00E4147A" w:rsidP="00890B17">
            <w:pPr>
              <w:spacing w:after="0"/>
              <w:rPr>
                <w:rFonts w:cstheme="majorHAnsi"/>
                <w:color w:val="000000"/>
                <w:sz w:val="18"/>
              </w:rPr>
            </w:pPr>
            <w:r w:rsidRPr="00CB5158">
              <w:rPr>
                <w:rFonts w:cstheme="majorHAnsi"/>
                <w:color w:val="000000"/>
                <w:sz w:val="18"/>
              </w:rPr>
              <w:t>Tourism</w:t>
            </w:r>
          </w:p>
        </w:tc>
        <w:tc>
          <w:tcPr>
            <w:tcW w:w="2589" w:type="dxa"/>
            <w:tcBorders>
              <w:top w:val="nil"/>
              <w:left w:val="nil"/>
              <w:bottom w:val="single" w:sz="4" w:space="0" w:color="auto"/>
              <w:right w:val="single" w:sz="4" w:space="0" w:color="auto"/>
            </w:tcBorders>
            <w:noWrap/>
            <w:vAlign w:val="center"/>
          </w:tcPr>
          <w:p w14:paraId="63CCB608"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72,489,119</w:t>
            </w:r>
          </w:p>
        </w:tc>
        <w:tc>
          <w:tcPr>
            <w:tcW w:w="2590" w:type="dxa"/>
            <w:tcBorders>
              <w:top w:val="nil"/>
              <w:left w:val="nil"/>
              <w:bottom w:val="single" w:sz="4" w:space="0" w:color="auto"/>
              <w:right w:val="single" w:sz="4" w:space="0" w:color="auto"/>
            </w:tcBorders>
            <w:vAlign w:val="center"/>
          </w:tcPr>
          <w:p w14:paraId="3F704725"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visits (3+ hours, non-active, non-volunteer living &gt;100m away)</w:t>
            </w:r>
          </w:p>
        </w:tc>
        <w:tc>
          <w:tcPr>
            <w:tcW w:w="2589" w:type="dxa"/>
            <w:tcBorders>
              <w:top w:val="nil"/>
              <w:left w:val="nil"/>
              <w:bottom w:val="single" w:sz="4" w:space="0" w:color="auto"/>
              <w:right w:val="single" w:sz="4" w:space="0" w:color="auto"/>
            </w:tcBorders>
            <w:noWrap/>
            <w:vAlign w:val="center"/>
          </w:tcPr>
          <w:p w14:paraId="5634E466" w14:textId="77777777" w:rsidR="00E4147A" w:rsidRPr="00CB5158" w:rsidRDefault="00E4147A" w:rsidP="00890B17">
            <w:pPr>
              <w:spacing w:after="0"/>
              <w:jc w:val="right"/>
              <w:rPr>
                <w:rFonts w:cstheme="majorHAnsi"/>
                <w:sz w:val="18"/>
              </w:rPr>
            </w:pPr>
            <w:r w:rsidRPr="00CB5158">
              <w:rPr>
                <w:rFonts w:cstheme="majorHAnsi"/>
                <w:sz w:val="18"/>
              </w:rPr>
              <w:t>£278.36m</w:t>
            </w:r>
          </w:p>
        </w:tc>
        <w:tc>
          <w:tcPr>
            <w:tcW w:w="2590" w:type="dxa"/>
            <w:tcBorders>
              <w:top w:val="nil"/>
              <w:left w:val="nil"/>
              <w:bottom w:val="single" w:sz="4" w:space="0" w:color="auto"/>
              <w:right w:val="single" w:sz="4" w:space="0" w:color="auto"/>
            </w:tcBorders>
            <w:noWrap/>
            <w:vAlign w:val="center"/>
          </w:tcPr>
          <w:p w14:paraId="462B062E" w14:textId="77777777" w:rsidR="00E4147A" w:rsidRPr="00CB5158" w:rsidRDefault="00E4147A" w:rsidP="00890B17">
            <w:pPr>
              <w:spacing w:after="0"/>
              <w:jc w:val="right"/>
              <w:rPr>
                <w:rFonts w:cstheme="majorHAnsi"/>
                <w:sz w:val="18"/>
              </w:rPr>
            </w:pPr>
            <w:r w:rsidRPr="00CB5158">
              <w:rPr>
                <w:rFonts w:cstheme="majorHAnsi"/>
                <w:sz w:val="18"/>
              </w:rPr>
              <w:t>£8,312.71m</w:t>
            </w:r>
          </w:p>
        </w:tc>
      </w:tr>
      <w:tr w:rsidR="00E4147A" w:rsidRPr="001623F0" w14:paraId="46292858"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2175DF84" w14:textId="2A204475" w:rsidR="00E4147A" w:rsidRPr="00CB5158" w:rsidRDefault="00E4147A" w:rsidP="00890B17">
            <w:pPr>
              <w:spacing w:after="0"/>
              <w:rPr>
                <w:rFonts w:cstheme="majorHAnsi"/>
                <w:color w:val="000000"/>
                <w:sz w:val="18"/>
              </w:rPr>
            </w:pPr>
            <w:r w:rsidRPr="00CB5158">
              <w:rPr>
                <w:rFonts w:cstheme="majorHAnsi"/>
                <w:color w:val="000000"/>
                <w:sz w:val="18"/>
              </w:rPr>
              <w:t>Aesthetic and recreation (house prices)</w:t>
            </w:r>
          </w:p>
        </w:tc>
        <w:tc>
          <w:tcPr>
            <w:tcW w:w="2589" w:type="dxa"/>
            <w:tcBorders>
              <w:top w:val="nil"/>
              <w:left w:val="nil"/>
              <w:bottom w:val="single" w:sz="4" w:space="0" w:color="auto"/>
              <w:right w:val="single" w:sz="4" w:space="0" w:color="auto"/>
            </w:tcBorders>
            <w:noWrap/>
            <w:vAlign w:val="center"/>
          </w:tcPr>
          <w:p w14:paraId="420C81CD"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271,739</w:t>
            </w:r>
          </w:p>
        </w:tc>
        <w:tc>
          <w:tcPr>
            <w:tcW w:w="2590" w:type="dxa"/>
            <w:tcBorders>
              <w:top w:val="nil"/>
              <w:left w:val="nil"/>
              <w:bottom w:val="single" w:sz="4" w:space="0" w:color="auto"/>
              <w:right w:val="single" w:sz="4" w:space="0" w:color="auto"/>
            </w:tcBorders>
            <w:vAlign w:val="center"/>
          </w:tcPr>
          <w:p w14:paraId="74DC6DCF" w14:textId="4716A150" w:rsidR="00E4147A" w:rsidRPr="00CB5158" w:rsidRDefault="00E4147A" w:rsidP="003C263A">
            <w:pPr>
              <w:spacing w:after="0"/>
              <w:jc w:val="left"/>
              <w:rPr>
                <w:rFonts w:cstheme="majorHAnsi"/>
                <w:color w:val="000000"/>
                <w:sz w:val="18"/>
              </w:rPr>
            </w:pPr>
            <w:r w:rsidRPr="00CB5158">
              <w:rPr>
                <w:rFonts w:cstheme="majorHAnsi"/>
                <w:color w:val="000000"/>
                <w:sz w:val="18"/>
              </w:rPr>
              <w:t>households living within 100</w:t>
            </w:r>
            <w:r w:rsidR="0014179C">
              <w:rPr>
                <w:rFonts w:cstheme="majorHAnsi"/>
                <w:color w:val="000000"/>
                <w:sz w:val="18"/>
              </w:rPr>
              <w:t xml:space="preserve"> </w:t>
            </w:r>
            <w:r w:rsidRPr="00CB5158">
              <w:rPr>
                <w:rFonts w:cstheme="majorHAnsi"/>
                <w:color w:val="000000"/>
                <w:sz w:val="18"/>
              </w:rPr>
              <w:t>m</w:t>
            </w:r>
            <w:r w:rsidR="0014179C">
              <w:rPr>
                <w:rFonts w:cstheme="majorHAnsi"/>
                <w:color w:val="000000"/>
                <w:sz w:val="18"/>
              </w:rPr>
              <w:t>etres</w:t>
            </w:r>
          </w:p>
        </w:tc>
        <w:tc>
          <w:tcPr>
            <w:tcW w:w="2589" w:type="dxa"/>
            <w:tcBorders>
              <w:top w:val="nil"/>
              <w:left w:val="nil"/>
              <w:bottom w:val="single" w:sz="4" w:space="0" w:color="auto"/>
              <w:right w:val="single" w:sz="4" w:space="0" w:color="auto"/>
            </w:tcBorders>
            <w:noWrap/>
            <w:vAlign w:val="center"/>
          </w:tcPr>
          <w:p w14:paraId="5445BD06" w14:textId="77777777" w:rsidR="00E4147A" w:rsidRPr="00CB5158" w:rsidRDefault="00E4147A" w:rsidP="00890B17">
            <w:pPr>
              <w:spacing w:after="0"/>
              <w:jc w:val="right"/>
              <w:rPr>
                <w:rFonts w:cstheme="majorHAnsi"/>
                <w:sz w:val="18"/>
              </w:rPr>
            </w:pPr>
            <w:r w:rsidRPr="00CB5158">
              <w:rPr>
                <w:rFonts w:cstheme="majorHAnsi"/>
                <w:sz w:val="18"/>
              </w:rPr>
              <w:t>£95.56m</w:t>
            </w:r>
          </w:p>
        </w:tc>
        <w:tc>
          <w:tcPr>
            <w:tcW w:w="2590" w:type="dxa"/>
            <w:tcBorders>
              <w:top w:val="nil"/>
              <w:left w:val="nil"/>
              <w:bottom w:val="single" w:sz="4" w:space="0" w:color="auto"/>
              <w:right w:val="single" w:sz="4" w:space="0" w:color="auto"/>
            </w:tcBorders>
            <w:noWrap/>
            <w:vAlign w:val="center"/>
          </w:tcPr>
          <w:p w14:paraId="127163DA" w14:textId="77777777" w:rsidR="00E4147A" w:rsidRPr="00CB5158" w:rsidRDefault="00E4147A" w:rsidP="00890B17">
            <w:pPr>
              <w:spacing w:after="0"/>
              <w:jc w:val="right"/>
              <w:rPr>
                <w:rFonts w:cstheme="majorHAnsi"/>
                <w:sz w:val="18"/>
              </w:rPr>
            </w:pPr>
            <w:r w:rsidRPr="00CB5158">
              <w:rPr>
                <w:rFonts w:cstheme="majorHAnsi"/>
                <w:sz w:val="18"/>
              </w:rPr>
              <w:t>£2,534.14m</w:t>
            </w:r>
          </w:p>
        </w:tc>
      </w:tr>
      <w:tr w:rsidR="00E4147A" w:rsidRPr="001623F0" w14:paraId="5F416939"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33FD92B5" w14:textId="77777777" w:rsidR="00E4147A" w:rsidRPr="00CB5158" w:rsidRDefault="00E4147A" w:rsidP="00890B17">
            <w:pPr>
              <w:spacing w:after="0"/>
              <w:rPr>
                <w:rFonts w:cstheme="majorHAnsi"/>
                <w:color w:val="000000"/>
                <w:sz w:val="18"/>
              </w:rPr>
            </w:pPr>
            <w:r w:rsidRPr="00CB5158">
              <w:rPr>
                <w:rFonts w:cstheme="majorHAnsi"/>
                <w:color w:val="000000"/>
                <w:sz w:val="18"/>
              </w:rPr>
              <w:t xml:space="preserve">Volunteering </w:t>
            </w:r>
          </w:p>
        </w:tc>
        <w:tc>
          <w:tcPr>
            <w:tcW w:w="2589" w:type="dxa"/>
            <w:tcBorders>
              <w:top w:val="nil"/>
              <w:left w:val="nil"/>
              <w:bottom w:val="single" w:sz="4" w:space="0" w:color="auto"/>
              <w:right w:val="single" w:sz="4" w:space="0" w:color="auto"/>
            </w:tcBorders>
            <w:noWrap/>
            <w:vAlign w:val="center"/>
          </w:tcPr>
          <w:p w14:paraId="21F20252"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715,198</w:t>
            </w:r>
          </w:p>
        </w:tc>
        <w:tc>
          <w:tcPr>
            <w:tcW w:w="2590" w:type="dxa"/>
            <w:tcBorders>
              <w:top w:val="nil"/>
              <w:left w:val="nil"/>
              <w:bottom w:val="single" w:sz="4" w:space="0" w:color="auto"/>
              <w:right w:val="single" w:sz="4" w:space="0" w:color="auto"/>
            </w:tcBorders>
            <w:vAlign w:val="center"/>
          </w:tcPr>
          <w:p w14:paraId="5C4FD216"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volunteer hours</w:t>
            </w:r>
          </w:p>
        </w:tc>
        <w:tc>
          <w:tcPr>
            <w:tcW w:w="2589" w:type="dxa"/>
            <w:tcBorders>
              <w:top w:val="nil"/>
              <w:left w:val="nil"/>
              <w:bottom w:val="single" w:sz="4" w:space="0" w:color="auto"/>
              <w:right w:val="single" w:sz="4" w:space="0" w:color="auto"/>
            </w:tcBorders>
            <w:noWrap/>
            <w:vAlign w:val="center"/>
          </w:tcPr>
          <w:p w14:paraId="70ECBA1F" w14:textId="77777777" w:rsidR="00E4147A" w:rsidRPr="00CB5158" w:rsidRDefault="00E4147A" w:rsidP="00890B17">
            <w:pPr>
              <w:spacing w:after="0"/>
              <w:jc w:val="right"/>
              <w:rPr>
                <w:rFonts w:cstheme="majorHAnsi"/>
                <w:sz w:val="18"/>
              </w:rPr>
            </w:pPr>
            <w:r w:rsidRPr="00CB5158">
              <w:rPr>
                <w:rFonts w:cstheme="majorHAnsi"/>
                <w:sz w:val="18"/>
              </w:rPr>
              <w:t>£11.33m</w:t>
            </w:r>
          </w:p>
        </w:tc>
        <w:tc>
          <w:tcPr>
            <w:tcW w:w="2590" w:type="dxa"/>
            <w:tcBorders>
              <w:top w:val="nil"/>
              <w:left w:val="nil"/>
              <w:bottom w:val="single" w:sz="4" w:space="0" w:color="auto"/>
              <w:right w:val="single" w:sz="4" w:space="0" w:color="auto"/>
            </w:tcBorders>
            <w:noWrap/>
            <w:vAlign w:val="center"/>
          </w:tcPr>
          <w:p w14:paraId="44AD1898" w14:textId="77777777" w:rsidR="00E4147A" w:rsidRPr="00CB5158" w:rsidRDefault="00E4147A" w:rsidP="00890B17">
            <w:pPr>
              <w:spacing w:after="0"/>
              <w:jc w:val="right"/>
              <w:rPr>
                <w:rFonts w:cstheme="majorHAnsi"/>
                <w:sz w:val="18"/>
              </w:rPr>
            </w:pPr>
            <w:r w:rsidRPr="00CB5158">
              <w:rPr>
                <w:rFonts w:cstheme="majorHAnsi"/>
                <w:sz w:val="18"/>
              </w:rPr>
              <w:t>£338.31m</w:t>
            </w:r>
          </w:p>
        </w:tc>
      </w:tr>
      <w:tr w:rsidR="00E4147A" w:rsidRPr="001623F0" w14:paraId="6E7BF77A"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6B6E9F46" w14:textId="7330476A" w:rsidR="00E4147A" w:rsidRPr="00CB5158" w:rsidRDefault="00E4147A" w:rsidP="00890B17">
            <w:pPr>
              <w:spacing w:after="0"/>
              <w:rPr>
                <w:rFonts w:cstheme="majorHAnsi"/>
                <w:color w:val="000000"/>
                <w:sz w:val="18"/>
              </w:rPr>
            </w:pPr>
            <w:r w:rsidRPr="00CB5158">
              <w:rPr>
                <w:rFonts w:cstheme="majorHAnsi"/>
                <w:color w:val="000000"/>
                <w:sz w:val="18"/>
              </w:rPr>
              <w:t>Education</w:t>
            </w:r>
          </w:p>
        </w:tc>
        <w:tc>
          <w:tcPr>
            <w:tcW w:w="2589" w:type="dxa"/>
            <w:tcBorders>
              <w:top w:val="nil"/>
              <w:left w:val="nil"/>
              <w:bottom w:val="single" w:sz="4" w:space="0" w:color="auto"/>
              <w:right w:val="single" w:sz="4" w:space="0" w:color="auto"/>
            </w:tcBorders>
            <w:noWrap/>
            <w:vAlign w:val="center"/>
          </w:tcPr>
          <w:p w14:paraId="0DE12C08"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93,399</w:t>
            </w:r>
          </w:p>
        </w:tc>
        <w:tc>
          <w:tcPr>
            <w:tcW w:w="2590" w:type="dxa"/>
            <w:tcBorders>
              <w:top w:val="nil"/>
              <w:left w:val="nil"/>
              <w:bottom w:val="single" w:sz="4" w:space="0" w:color="auto"/>
              <w:right w:val="single" w:sz="4" w:space="0" w:color="auto"/>
            </w:tcBorders>
            <w:vAlign w:val="center"/>
          </w:tcPr>
          <w:p w14:paraId="1262DC17"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 xml:space="preserve">hours of education </w:t>
            </w:r>
          </w:p>
        </w:tc>
        <w:tc>
          <w:tcPr>
            <w:tcW w:w="2589" w:type="dxa"/>
            <w:tcBorders>
              <w:top w:val="nil"/>
              <w:left w:val="nil"/>
              <w:bottom w:val="single" w:sz="4" w:space="0" w:color="auto"/>
              <w:right w:val="single" w:sz="4" w:space="0" w:color="auto"/>
            </w:tcBorders>
            <w:noWrap/>
            <w:vAlign w:val="center"/>
          </w:tcPr>
          <w:p w14:paraId="689DE700" w14:textId="77777777" w:rsidR="00E4147A" w:rsidRPr="00CB5158" w:rsidRDefault="00E4147A" w:rsidP="00890B17">
            <w:pPr>
              <w:spacing w:after="0"/>
              <w:jc w:val="right"/>
              <w:rPr>
                <w:rFonts w:cstheme="majorHAnsi"/>
                <w:sz w:val="18"/>
              </w:rPr>
            </w:pPr>
            <w:r w:rsidRPr="00CB5158">
              <w:rPr>
                <w:rFonts w:cstheme="majorHAnsi"/>
                <w:sz w:val="18"/>
              </w:rPr>
              <w:t>£0.45m</w:t>
            </w:r>
          </w:p>
        </w:tc>
        <w:tc>
          <w:tcPr>
            <w:tcW w:w="2590" w:type="dxa"/>
            <w:tcBorders>
              <w:top w:val="nil"/>
              <w:left w:val="nil"/>
              <w:bottom w:val="single" w:sz="4" w:space="0" w:color="auto"/>
              <w:right w:val="single" w:sz="4" w:space="0" w:color="auto"/>
            </w:tcBorders>
            <w:noWrap/>
            <w:vAlign w:val="center"/>
          </w:tcPr>
          <w:p w14:paraId="0CB3E68F" w14:textId="77777777" w:rsidR="00E4147A" w:rsidRPr="00CB5158" w:rsidRDefault="00E4147A" w:rsidP="00890B17">
            <w:pPr>
              <w:spacing w:after="0"/>
              <w:jc w:val="right"/>
              <w:rPr>
                <w:rFonts w:cstheme="majorHAnsi"/>
                <w:sz w:val="18"/>
              </w:rPr>
            </w:pPr>
            <w:r w:rsidRPr="00CB5158">
              <w:rPr>
                <w:rFonts w:cstheme="majorHAnsi"/>
                <w:sz w:val="18"/>
              </w:rPr>
              <w:t>£13.50m</w:t>
            </w:r>
          </w:p>
        </w:tc>
      </w:tr>
      <w:tr w:rsidR="00E4147A" w:rsidRPr="001623F0" w14:paraId="7545FDDC" w14:textId="77777777" w:rsidTr="00313920">
        <w:trPr>
          <w:trHeight w:val="226"/>
        </w:trPr>
        <w:tc>
          <w:tcPr>
            <w:tcW w:w="4229" w:type="dxa"/>
            <w:tcBorders>
              <w:top w:val="nil"/>
              <w:left w:val="nil"/>
              <w:bottom w:val="nil"/>
              <w:right w:val="nil"/>
            </w:tcBorders>
            <w:noWrap/>
            <w:vAlign w:val="center"/>
            <w:hideMark/>
          </w:tcPr>
          <w:p w14:paraId="24D2071F" w14:textId="77777777" w:rsidR="00E4147A" w:rsidRPr="001623F0" w:rsidRDefault="00E4147A" w:rsidP="00890B17">
            <w:pPr>
              <w:spacing w:after="0"/>
              <w:rPr>
                <w:rFonts w:asciiTheme="majorHAnsi" w:hAnsiTheme="majorHAnsi" w:cstheme="majorHAnsi"/>
                <w:b/>
                <w:bCs/>
                <w:color w:val="000000"/>
                <w:sz w:val="18"/>
              </w:rPr>
            </w:pPr>
          </w:p>
        </w:tc>
        <w:tc>
          <w:tcPr>
            <w:tcW w:w="2589" w:type="dxa"/>
            <w:tcBorders>
              <w:top w:val="nil"/>
              <w:left w:val="nil"/>
              <w:bottom w:val="nil"/>
              <w:right w:val="nil"/>
            </w:tcBorders>
            <w:noWrap/>
            <w:vAlign w:val="center"/>
          </w:tcPr>
          <w:p w14:paraId="2867F738" w14:textId="77777777" w:rsidR="00E4147A" w:rsidRPr="001623F0" w:rsidRDefault="00E4147A" w:rsidP="00890B17">
            <w:pPr>
              <w:spacing w:after="0"/>
              <w:jc w:val="right"/>
              <w:rPr>
                <w:rFonts w:asciiTheme="majorHAnsi" w:hAnsiTheme="majorHAnsi" w:cstheme="majorHAnsi"/>
                <w:sz w:val="18"/>
              </w:rPr>
            </w:pPr>
          </w:p>
        </w:tc>
        <w:tc>
          <w:tcPr>
            <w:tcW w:w="2590" w:type="dxa"/>
            <w:tcBorders>
              <w:top w:val="nil"/>
              <w:left w:val="nil"/>
              <w:bottom w:val="nil"/>
              <w:right w:val="nil"/>
            </w:tcBorders>
            <w:vAlign w:val="center"/>
          </w:tcPr>
          <w:p w14:paraId="3783F9B5" w14:textId="77777777" w:rsidR="00E4147A" w:rsidRPr="001623F0" w:rsidRDefault="00E4147A" w:rsidP="00890B17">
            <w:pPr>
              <w:spacing w:after="0"/>
              <w:rPr>
                <w:rFonts w:asciiTheme="majorHAnsi" w:hAnsiTheme="majorHAnsi" w:cstheme="majorHAnsi"/>
                <w:sz w:val="18"/>
              </w:rPr>
            </w:pPr>
          </w:p>
        </w:tc>
        <w:tc>
          <w:tcPr>
            <w:tcW w:w="2589" w:type="dxa"/>
            <w:tcBorders>
              <w:top w:val="nil"/>
              <w:left w:val="nil"/>
              <w:bottom w:val="nil"/>
              <w:right w:val="nil"/>
            </w:tcBorders>
            <w:noWrap/>
            <w:vAlign w:val="center"/>
            <w:hideMark/>
          </w:tcPr>
          <w:p w14:paraId="3468CB03" w14:textId="77777777" w:rsidR="00E4147A" w:rsidRPr="001623F0" w:rsidRDefault="00E4147A" w:rsidP="00890B17">
            <w:pPr>
              <w:spacing w:after="0"/>
              <w:jc w:val="right"/>
              <w:rPr>
                <w:rFonts w:asciiTheme="majorHAnsi" w:hAnsiTheme="majorHAnsi" w:cstheme="majorHAnsi"/>
                <w:sz w:val="18"/>
              </w:rPr>
            </w:pPr>
          </w:p>
        </w:tc>
        <w:tc>
          <w:tcPr>
            <w:tcW w:w="2590" w:type="dxa"/>
            <w:tcBorders>
              <w:top w:val="nil"/>
              <w:left w:val="nil"/>
              <w:bottom w:val="nil"/>
              <w:right w:val="nil"/>
            </w:tcBorders>
            <w:noWrap/>
            <w:vAlign w:val="center"/>
            <w:hideMark/>
          </w:tcPr>
          <w:p w14:paraId="334102F0" w14:textId="77777777" w:rsidR="00E4147A" w:rsidRPr="001623F0" w:rsidRDefault="00E4147A" w:rsidP="00890B17">
            <w:pPr>
              <w:spacing w:after="0"/>
              <w:jc w:val="right"/>
              <w:rPr>
                <w:rFonts w:asciiTheme="majorHAnsi" w:hAnsiTheme="majorHAnsi" w:cstheme="majorHAnsi"/>
                <w:sz w:val="18"/>
              </w:rPr>
            </w:pPr>
          </w:p>
        </w:tc>
      </w:tr>
      <w:tr w:rsidR="00E4147A" w:rsidRPr="001623F0" w14:paraId="77E260B7" w14:textId="77777777" w:rsidTr="00D02411">
        <w:trPr>
          <w:trHeight w:val="457"/>
        </w:trPr>
        <w:tc>
          <w:tcPr>
            <w:tcW w:w="4229" w:type="dxa"/>
            <w:tcBorders>
              <w:top w:val="single" w:sz="4" w:space="0" w:color="auto"/>
              <w:left w:val="nil"/>
              <w:bottom w:val="double" w:sz="4" w:space="0" w:color="auto"/>
              <w:right w:val="nil"/>
            </w:tcBorders>
            <w:noWrap/>
            <w:vAlign w:val="center"/>
            <w:hideMark/>
          </w:tcPr>
          <w:p w14:paraId="1928CEEB" w14:textId="77777777" w:rsidR="00E4147A" w:rsidRPr="001623F0" w:rsidRDefault="00E4147A" w:rsidP="00890B17">
            <w:pPr>
              <w:spacing w:after="0"/>
              <w:rPr>
                <w:rFonts w:asciiTheme="majorHAnsi" w:hAnsiTheme="majorHAnsi" w:cstheme="majorHAnsi"/>
                <w:b/>
                <w:bCs/>
                <w:color w:val="000000"/>
                <w:sz w:val="18"/>
              </w:rPr>
            </w:pPr>
            <w:r w:rsidRPr="001623F0">
              <w:rPr>
                <w:rFonts w:asciiTheme="majorHAnsi" w:hAnsiTheme="majorHAnsi" w:cstheme="majorHAnsi"/>
                <w:b/>
                <w:bCs/>
                <w:color w:val="000000"/>
                <w:sz w:val="18"/>
              </w:rPr>
              <w:t>Total</w:t>
            </w:r>
            <w:r>
              <w:rPr>
                <w:rFonts w:asciiTheme="majorHAnsi" w:hAnsiTheme="majorHAnsi" w:cstheme="majorHAnsi"/>
                <w:b/>
                <w:bCs/>
                <w:color w:val="000000"/>
                <w:sz w:val="18"/>
              </w:rPr>
              <w:t xml:space="preserve"> Value</w:t>
            </w:r>
          </w:p>
        </w:tc>
        <w:tc>
          <w:tcPr>
            <w:tcW w:w="2589" w:type="dxa"/>
            <w:tcBorders>
              <w:top w:val="single" w:sz="4" w:space="0" w:color="auto"/>
              <w:left w:val="nil"/>
              <w:bottom w:val="double" w:sz="4" w:space="0" w:color="auto"/>
              <w:right w:val="nil"/>
            </w:tcBorders>
            <w:noWrap/>
            <w:vAlign w:val="center"/>
          </w:tcPr>
          <w:p w14:paraId="4D96D9B9" w14:textId="68C4D0A0" w:rsidR="00E4147A" w:rsidRPr="001623F0" w:rsidRDefault="00E4147A" w:rsidP="00890B17">
            <w:pPr>
              <w:spacing w:after="0"/>
              <w:jc w:val="right"/>
              <w:rPr>
                <w:rFonts w:asciiTheme="majorHAnsi" w:hAnsiTheme="majorHAnsi" w:cstheme="majorHAnsi"/>
                <w:b/>
                <w:bCs/>
                <w:color w:val="000000"/>
                <w:sz w:val="18"/>
              </w:rPr>
            </w:pPr>
          </w:p>
        </w:tc>
        <w:tc>
          <w:tcPr>
            <w:tcW w:w="2590" w:type="dxa"/>
            <w:tcBorders>
              <w:top w:val="single" w:sz="4" w:space="0" w:color="auto"/>
              <w:left w:val="nil"/>
              <w:bottom w:val="double" w:sz="4" w:space="0" w:color="auto"/>
              <w:right w:val="nil"/>
            </w:tcBorders>
            <w:vAlign w:val="center"/>
          </w:tcPr>
          <w:p w14:paraId="2F2B6B92" w14:textId="1702FD87" w:rsidR="00E4147A" w:rsidRPr="001623F0" w:rsidRDefault="00E4147A" w:rsidP="00890B17">
            <w:pPr>
              <w:spacing w:after="0"/>
              <w:rPr>
                <w:rFonts w:asciiTheme="majorHAnsi" w:hAnsiTheme="majorHAnsi" w:cstheme="majorHAnsi"/>
                <w:b/>
                <w:bCs/>
                <w:color w:val="000000"/>
                <w:sz w:val="18"/>
              </w:rPr>
            </w:pPr>
          </w:p>
        </w:tc>
        <w:tc>
          <w:tcPr>
            <w:tcW w:w="2589" w:type="dxa"/>
            <w:tcBorders>
              <w:top w:val="single" w:sz="4" w:space="0" w:color="auto"/>
              <w:left w:val="nil"/>
              <w:bottom w:val="double" w:sz="4" w:space="0" w:color="auto"/>
              <w:right w:val="nil"/>
            </w:tcBorders>
            <w:noWrap/>
            <w:vAlign w:val="center"/>
            <w:hideMark/>
          </w:tcPr>
          <w:p w14:paraId="069B8B29" w14:textId="77777777" w:rsidR="00E4147A" w:rsidRPr="001623F0" w:rsidRDefault="00E4147A" w:rsidP="00890B17">
            <w:pPr>
              <w:spacing w:after="0"/>
              <w:jc w:val="right"/>
              <w:rPr>
                <w:rFonts w:asciiTheme="majorHAnsi" w:hAnsiTheme="majorHAnsi" w:cstheme="majorHAnsi"/>
                <w:b/>
                <w:bCs/>
                <w:color w:val="000000"/>
                <w:sz w:val="18"/>
              </w:rPr>
            </w:pPr>
            <w:r w:rsidRPr="00AC4D76">
              <w:rPr>
                <w:rFonts w:asciiTheme="majorHAnsi" w:hAnsiTheme="majorHAnsi" w:cstheme="majorHAnsi"/>
                <w:b/>
                <w:color w:val="000000"/>
                <w:sz w:val="18"/>
              </w:rPr>
              <w:t>£3,306.3m</w:t>
            </w:r>
          </w:p>
        </w:tc>
        <w:tc>
          <w:tcPr>
            <w:tcW w:w="2590" w:type="dxa"/>
            <w:tcBorders>
              <w:top w:val="single" w:sz="4" w:space="0" w:color="auto"/>
              <w:left w:val="nil"/>
              <w:bottom w:val="double" w:sz="4" w:space="0" w:color="auto"/>
              <w:right w:val="nil"/>
            </w:tcBorders>
            <w:noWrap/>
            <w:vAlign w:val="center"/>
            <w:hideMark/>
          </w:tcPr>
          <w:p w14:paraId="18365D5E" w14:textId="77777777" w:rsidR="00E4147A" w:rsidRPr="001623F0" w:rsidRDefault="00E4147A" w:rsidP="00890B17">
            <w:pPr>
              <w:spacing w:after="0"/>
              <w:jc w:val="right"/>
              <w:rPr>
                <w:rFonts w:asciiTheme="majorHAnsi" w:hAnsiTheme="majorHAnsi" w:cstheme="majorHAnsi"/>
                <w:b/>
                <w:bCs/>
                <w:color w:val="000000"/>
                <w:sz w:val="18"/>
              </w:rPr>
            </w:pPr>
            <w:r w:rsidRPr="000554A9">
              <w:rPr>
                <w:rFonts w:asciiTheme="majorHAnsi" w:hAnsiTheme="majorHAnsi" w:cstheme="majorHAnsi"/>
                <w:b/>
                <w:bCs/>
                <w:color w:val="000000"/>
                <w:sz w:val="18"/>
              </w:rPr>
              <w:t>£99,200.1m</w:t>
            </w:r>
          </w:p>
        </w:tc>
      </w:tr>
    </w:tbl>
    <w:p w14:paraId="6C4E07E3" w14:textId="77777777" w:rsidR="00C24403" w:rsidRPr="00734E8F" w:rsidRDefault="00C24403" w:rsidP="00561040">
      <w:pPr>
        <w:pStyle w:val="BodyText"/>
        <w:rPr>
          <w:sz w:val="16"/>
          <w:szCs w:val="14"/>
        </w:rPr>
      </w:pPr>
    </w:p>
    <w:p w14:paraId="06B1EA95" w14:textId="77777777" w:rsidR="00704DFA" w:rsidRDefault="00704DFA" w:rsidP="00561040">
      <w:pPr>
        <w:pStyle w:val="BodyText"/>
        <w:sectPr w:rsidR="00704DFA" w:rsidSect="00704DFA">
          <w:pgSz w:w="16838" w:h="11906" w:orient="landscape"/>
          <w:pgMar w:top="1440" w:right="1134" w:bottom="1440" w:left="851" w:header="709" w:footer="284" w:gutter="0"/>
          <w:cols w:space="708"/>
          <w:docGrid w:linePitch="360"/>
        </w:sectPr>
      </w:pPr>
    </w:p>
    <w:p w14:paraId="434C06AC" w14:textId="77777777" w:rsidR="006E2375" w:rsidRPr="003C263A" w:rsidRDefault="006E2375" w:rsidP="003C263A">
      <w:pPr>
        <w:pBdr>
          <w:top w:val="single" w:sz="4" w:space="1" w:color="auto"/>
          <w:left w:val="single" w:sz="4" w:space="4" w:color="auto"/>
          <w:bottom w:val="single" w:sz="4" w:space="1" w:color="auto"/>
          <w:right w:val="single" w:sz="4" w:space="4" w:color="auto"/>
        </w:pBdr>
        <w:rPr>
          <w:rFonts w:asciiTheme="majorHAnsi" w:eastAsia="Arial" w:hAnsiTheme="majorHAnsi"/>
          <w:b/>
          <w:bdr w:val="none" w:sz="0" w:space="0" w:color="auto" w:frame="1"/>
        </w:rPr>
      </w:pPr>
      <w:r w:rsidRPr="003C263A">
        <w:rPr>
          <w:rFonts w:asciiTheme="majorHAnsi" w:eastAsia="Arial" w:hAnsiTheme="majorHAnsi"/>
          <w:b/>
          <w:bdr w:val="none" w:sz="0" w:space="0" w:color="auto" w:frame="1"/>
        </w:rPr>
        <w:lastRenderedPageBreak/>
        <w:t>Biodiversity</w:t>
      </w:r>
    </w:p>
    <w:p w14:paraId="1A83C852" w14:textId="140E9F48" w:rsidR="002847A2" w:rsidRPr="006B775D" w:rsidRDefault="002847A2" w:rsidP="003C263A">
      <w:pPr>
        <w:pBdr>
          <w:top w:val="single" w:sz="4" w:space="1" w:color="auto"/>
          <w:left w:val="single" w:sz="4" w:space="4" w:color="auto"/>
          <w:bottom w:val="single" w:sz="4" w:space="1" w:color="auto"/>
          <w:right w:val="single" w:sz="4" w:space="4" w:color="auto"/>
        </w:pBdr>
        <w:rPr>
          <w:rFonts w:eastAsia="Arial"/>
          <w:lang w:eastAsia="en-US"/>
        </w:rPr>
      </w:pPr>
      <w:r w:rsidRPr="006B775D">
        <w:rPr>
          <w:rFonts w:eastAsia="Arial"/>
          <w:lang w:eastAsia="en-US"/>
        </w:rPr>
        <w:t xml:space="preserve">Biodiversity underpins the functioning of the Trust’s natural assets and the services they provide. </w:t>
      </w:r>
      <w:r w:rsidR="00C430C0" w:rsidRPr="006B775D">
        <w:rPr>
          <w:rFonts w:eastAsia="Arial"/>
          <w:lang w:eastAsia="en-US"/>
        </w:rPr>
        <w:t xml:space="preserve">It refers to </w:t>
      </w:r>
      <w:r w:rsidR="001B3BF8" w:rsidRPr="00036C86">
        <w:t>‘the variability among living organisms from all sources including terrestrial, marine and other aquatic ecosystems and the ecological complexes of which they are part’ (Convention on Biological Diversity). </w:t>
      </w:r>
      <w:r w:rsidR="008E561B" w:rsidRPr="006B775D">
        <w:rPr>
          <w:rFonts w:eastAsia="Arial"/>
          <w:lang w:eastAsia="en-US"/>
        </w:rPr>
        <w:t xml:space="preserve"> </w:t>
      </w:r>
      <w:r w:rsidRPr="006B775D">
        <w:rPr>
          <w:rFonts w:eastAsia="Arial"/>
          <w:lang w:eastAsia="en-US"/>
        </w:rPr>
        <w:t xml:space="preserve">In line with Corporate Natural Capital Accounting (CNCA) guidance, biodiversity is understood as a </w:t>
      </w:r>
      <w:r w:rsidRPr="003C263A">
        <w:rPr>
          <w:rFonts w:eastAsia="Arial"/>
          <w:lang w:eastAsia="en-US"/>
        </w:rPr>
        <w:t>supporting function</w:t>
      </w:r>
      <w:r w:rsidRPr="006B775D">
        <w:rPr>
          <w:rFonts w:eastAsia="Arial"/>
          <w:lang w:eastAsia="en-US"/>
        </w:rPr>
        <w:t>, enabling</w:t>
      </w:r>
      <w:r w:rsidR="00D21D42">
        <w:rPr>
          <w:rFonts w:eastAsia="Arial"/>
          <w:lang w:eastAsia="en-US"/>
        </w:rPr>
        <w:t xml:space="preserve"> </w:t>
      </w:r>
      <w:r w:rsidRPr="006B775D">
        <w:rPr>
          <w:rFonts w:eastAsia="Arial"/>
          <w:lang w:eastAsia="en-US"/>
        </w:rPr>
        <w:t>key ecological processes such as pollination, nutrient cycling, soil formation and disease regulation. These processes sit behind the delivery of provisioning, regulating and cultural services captured elsewhere in the accounts. To avoid double counting, biodiversity is therefore not typically assigned a standalone monetary value within natural capital accounts.</w:t>
      </w:r>
    </w:p>
    <w:p w14:paraId="6B952D6F" w14:textId="6C5E6673" w:rsidR="00135453" w:rsidRDefault="002847A2" w:rsidP="003C263A">
      <w:pPr>
        <w:pBdr>
          <w:top w:val="single" w:sz="4" w:space="1" w:color="auto"/>
          <w:left w:val="single" w:sz="4" w:space="4" w:color="auto"/>
          <w:bottom w:val="single" w:sz="4" w:space="1" w:color="auto"/>
          <w:right w:val="single" w:sz="4" w:space="4" w:color="auto"/>
        </w:pBdr>
        <w:rPr>
          <w:rFonts w:eastAsia="Arial"/>
          <w:lang w:eastAsia="en-US"/>
        </w:rPr>
      </w:pPr>
      <w:r w:rsidRPr="006B775D">
        <w:rPr>
          <w:rFonts w:eastAsia="Arial"/>
          <w:lang w:eastAsia="en-US"/>
        </w:rPr>
        <w:t>While not directly valued, biodiversity remains a critical component of the Trust’s overall natural capital. Quantitative measures of habitat extent and condition</w:t>
      </w:r>
      <w:r w:rsidR="00B11594">
        <w:rPr>
          <w:rFonts w:eastAsia="Arial"/>
          <w:lang w:eastAsia="en-US"/>
        </w:rPr>
        <w:t xml:space="preserve"> - </w:t>
      </w:r>
      <w:r w:rsidRPr="006B775D">
        <w:rPr>
          <w:rFonts w:eastAsia="Arial"/>
          <w:lang w:eastAsia="en-US"/>
        </w:rPr>
        <w:t xml:space="preserve">such as those derived from the Defra Biodiversity Metric - are incorporated within the asset register, providing an important indicator of the underlying ecological health of the network. Evidence from the Trust’s baseline work and </w:t>
      </w:r>
      <w:r w:rsidR="00B11594" w:rsidRPr="006B775D">
        <w:rPr>
          <w:rFonts w:eastAsia="Arial"/>
          <w:lang w:eastAsia="en-US"/>
        </w:rPr>
        <w:t>the</w:t>
      </w:r>
      <w:r w:rsidR="00B11594" w:rsidRPr="006B775D">
        <w:rPr>
          <w:rFonts w:eastAsia="Arial"/>
          <w:i/>
          <w:iCs/>
          <w:lang w:eastAsia="en-US"/>
        </w:rPr>
        <w:t xml:space="preserve"> Vital</w:t>
      </w:r>
      <w:r w:rsidRPr="006B775D">
        <w:rPr>
          <w:rFonts w:eastAsia="Arial"/>
          <w:i/>
          <w:lang w:eastAsia="en-US"/>
        </w:rPr>
        <w:t xml:space="preserve"> Connector</w:t>
      </w:r>
      <w:r w:rsidRPr="006B775D">
        <w:rPr>
          <w:rFonts w:eastAsia="Arial"/>
          <w:lang w:eastAsia="en-US"/>
        </w:rPr>
        <w:t xml:space="preserve"> report highlights the role of the canal network in supporting diverse habitats and species, particularly within landscapes that are otherwise fragmented or </w:t>
      </w:r>
      <w:r w:rsidR="00745533" w:rsidRPr="006B775D">
        <w:rPr>
          <w:rFonts w:eastAsia="Arial"/>
          <w:lang w:eastAsia="en-US"/>
        </w:rPr>
        <w:t>nature depleted</w:t>
      </w:r>
      <w:r w:rsidRPr="006B775D">
        <w:rPr>
          <w:rFonts w:eastAsia="Arial"/>
          <w:lang w:eastAsia="en-US"/>
        </w:rPr>
        <w:t>.</w:t>
      </w:r>
    </w:p>
    <w:p w14:paraId="1E8F5CF3" w14:textId="77777777" w:rsidR="00A22FFD" w:rsidRDefault="00A22FFD" w:rsidP="003C263A">
      <w:pPr>
        <w:pBdr>
          <w:top w:val="single" w:sz="4" w:space="1" w:color="auto"/>
          <w:left w:val="single" w:sz="4" w:space="4" w:color="auto"/>
          <w:bottom w:val="single" w:sz="4" w:space="1" w:color="auto"/>
          <w:right w:val="single" w:sz="4" w:space="4" w:color="auto"/>
        </w:pBdr>
      </w:pPr>
    </w:p>
    <w:p w14:paraId="5B160BAC" w14:textId="4AA4C20B" w:rsidR="009A53FF" w:rsidRDefault="009A53FF" w:rsidP="00BE0CBA"/>
    <w:p w14:paraId="3326C6A3" w14:textId="285B9FFE" w:rsidR="009A53FF" w:rsidRDefault="009A53FF" w:rsidP="00BE0CBA">
      <w:r>
        <w:rPr>
          <w:noProof/>
        </w:rPr>
        <mc:AlternateContent>
          <mc:Choice Requires="wps">
            <w:drawing>
              <wp:inline distT="0" distB="0" distL="0" distR="0" wp14:anchorId="62F4931C" wp14:editId="5E1599DB">
                <wp:extent cx="304800" cy="304800"/>
                <wp:effectExtent l="0" t="0" r="0" b="0"/>
                <wp:docPr id="2062160344" name="Rectangle 23" descr="Hanwell, Grand Union Can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1EF1C" id="Rectangle 23" o:spid="_x0000_s1026" alt="Hanwell, Grand Union Can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D7CD63" w14:textId="0D2F3593" w:rsidR="009A53FF" w:rsidRDefault="00355951" w:rsidP="00BE0CBA">
      <w:r w:rsidRPr="00355951">
        <w:rPr>
          <w:noProof/>
        </w:rPr>
        <w:drawing>
          <wp:inline distT="0" distB="0" distL="0" distR="0" wp14:anchorId="67270817" wp14:editId="258E454D">
            <wp:extent cx="5731510" cy="3441065"/>
            <wp:effectExtent l="0" t="0" r="2540" b="6985"/>
            <wp:docPr id="69857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71893" name=""/>
                    <pic:cNvPicPr/>
                  </pic:nvPicPr>
                  <pic:blipFill>
                    <a:blip r:embed="rId15"/>
                    <a:stretch>
                      <a:fillRect/>
                    </a:stretch>
                  </pic:blipFill>
                  <pic:spPr>
                    <a:xfrm>
                      <a:off x="0" y="0"/>
                      <a:ext cx="5731510" cy="3441065"/>
                    </a:xfrm>
                    <a:prstGeom prst="rect">
                      <a:avLst/>
                    </a:prstGeom>
                  </pic:spPr>
                </pic:pic>
              </a:graphicData>
            </a:graphic>
          </wp:inline>
        </w:drawing>
      </w:r>
    </w:p>
    <w:p w14:paraId="78CA7FE5" w14:textId="77777777" w:rsidR="009A53FF" w:rsidRDefault="009A53FF" w:rsidP="00BE0CBA"/>
    <w:p w14:paraId="16B1B3DC" w14:textId="77777777" w:rsidR="009A53FF" w:rsidRDefault="009A53FF" w:rsidP="00BE0CBA"/>
    <w:p w14:paraId="516E687A" w14:textId="77777777" w:rsidR="009A53FF" w:rsidRDefault="009A53FF" w:rsidP="00BE0CBA"/>
    <w:p w14:paraId="1F7E51B7" w14:textId="77777777" w:rsidR="009A53FF" w:rsidRDefault="009A53FF" w:rsidP="00BE0CBA"/>
    <w:p w14:paraId="5A0B7125" w14:textId="77777777" w:rsidR="009A53FF" w:rsidRDefault="009A53FF" w:rsidP="00BE0CBA"/>
    <w:p w14:paraId="2496B301" w14:textId="77777777" w:rsidR="009A53FF" w:rsidRDefault="009A53FF" w:rsidP="00BE0CBA"/>
    <w:p w14:paraId="64F6D6B1" w14:textId="77777777" w:rsidR="009A53FF" w:rsidRDefault="009A53FF" w:rsidP="00BE0CBA"/>
    <w:p w14:paraId="7F9F57E3" w14:textId="77777777" w:rsidR="009A53FF" w:rsidRDefault="009A53FF" w:rsidP="00BE0CBA"/>
    <w:p w14:paraId="38511C0A" w14:textId="77777777" w:rsidR="009A53FF" w:rsidRDefault="009A53FF" w:rsidP="00BE0CBA"/>
    <w:p w14:paraId="0B4882C4" w14:textId="77777777" w:rsidR="009A53FF" w:rsidRDefault="009A53FF" w:rsidP="00BE0CBA"/>
    <w:p w14:paraId="5317E12E" w14:textId="4325E373" w:rsidR="00845B6F" w:rsidRPr="00BE0CBA" w:rsidRDefault="004E534B" w:rsidP="00BE0CBA">
      <w:pPr>
        <w:rPr>
          <w:kern w:val="2"/>
          <w14:ligatures w14:val="standardContextual"/>
        </w:rPr>
      </w:pPr>
      <w:r>
        <w:lastRenderedPageBreak/>
        <w:t>As such, biodiversity should be understood as the foundation that enables and increases the productivity of many of the benefits reported in the accounts, rather than a separate value stream. Recognising and maintaining this underlying ecological function is essential to sustaining the long-term flow of ecosystem services provided by the network.</w:t>
      </w:r>
    </w:p>
    <w:p w14:paraId="561613BD" w14:textId="77777777" w:rsidR="006E2375" w:rsidRDefault="006E2375" w:rsidP="00561040">
      <w:pPr>
        <w:pStyle w:val="BodyText"/>
      </w:pPr>
    </w:p>
    <w:p w14:paraId="23BCF14B" w14:textId="5D4E4535" w:rsidR="00BD48DE" w:rsidRPr="003C263A" w:rsidRDefault="004F78EB" w:rsidP="003C263A">
      <w:pPr>
        <w:pBdr>
          <w:top w:val="single" w:sz="4" w:space="1" w:color="auto"/>
          <w:left w:val="single" w:sz="4" w:space="4" w:color="auto"/>
          <w:bottom w:val="single" w:sz="4" w:space="1" w:color="auto"/>
          <w:right w:val="single" w:sz="4" w:space="4" w:color="auto"/>
        </w:pBdr>
        <w:rPr>
          <w:rFonts w:asciiTheme="majorHAnsi" w:eastAsia="Arial" w:hAnsiTheme="majorHAnsi"/>
          <w:bdr w:val="none" w:sz="0" w:space="0" w:color="auto" w:frame="1"/>
        </w:rPr>
      </w:pPr>
      <w:r w:rsidRPr="003C263A">
        <w:rPr>
          <w:rFonts w:asciiTheme="majorHAnsi" w:eastAsia="Arial" w:hAnsiTheme="majorHAnsi"/>
          <w:bdr w:val="none" w:sz="0" w:space="0" w:color="auto" w:frame="1"/>
        </w:rPr>
        <w:t>Natural asset</w:t>
      </w:r>
      <w:r w:rsidR="00BD48DE" w:rsidRPr="003C263A">
        <w:rPr>
          <w:rFonts w:asciiTheme="majorHAnsi" w:eastAsia="Arial" w:hAnsiTheme="majorHAnsi"/>
          <w:bdr w:val="none" w:sz="0" w:space="0" w:color="auto" w:frame="1"/>
        </w:rPr>
        <w:t xml:space="preserve"> connectivity</w:t>
      </w:r>
    </w:p>
    <w:p w14:paraId="054E2AEF" w14:textId="2C6F6463" w:rsidR="0033775C" w:rsidRDefault="0033775C" w:rsidP="00135453">
      <w:pPr>
        <w:pBdr>
          <w:top w:val="single" w:sz="4" w:space="1" w:color="auto"/>
          <w:left w:val="single" w:sz="4" w:space="4" w:color="auto"/>
          <w:bottom w:val="single" w:sz="4" w:space="1" w:color="auto"/>
          <w:right w:val="single" w:sz="4" w:space="4" w:color="auto"/>
        </w:pBdr>
        <w:rPr>
          <w:rFonts w:eastAsia="Arial"/>
          <w:lang w:eastAsia="en-US"/>
        </w:rPr>
      </w:pPr>
      <w:r w:rsidRPr="006B775D">
        <w:rPr>
          <w:rFonts w:eastAsia="Arial"/>
          <w:lang w:eastAsia="en-US"/>
        </w:rPr>
        <w:t xml:space="preserve">The Trust’s canal network is one of the UK’s most extensive systems of connected blue-green infrastructure, acting as a continuous biodiversity corridor through both urban and rural landscapes. As highlighted in the </w:t>
      </w:r>
      <w:r w:rsidRPr="006B775D">
        <w:rPr>
          <w:rFonts w:eastAsia="Arial"/>
          <w:i/>
          <w:lang w:eastAsia="en-US"/>
        </w:rPr>
        <w:t>Vital Connector</w:t>
      </w:r>
      <w:r w:rsidRPr="006B775D">
        <w:rPr>
          <w:rFonts w:eastAsia="Arial"/>
          <w:lang w:eastAsia="en-US"/>
        </w:rPr>
        <w:t xml:space="preserve"> report, these waterways function as “living arteries” that reconnect fragmented habitats</w:t>
      </w:r>
      <w:r w:rsidR="00AD4AC9" w:rsidRPr="006B775D">
        <w:rPr>
          <w:rFonts w:eastAsia="Arial"/>
          <w:lang w:eastAsia="en-US"/>
        </w:rPr>
        <w:t xml:space="preserve"> - </w:t>
      </w:r>
      <w:r w:rsidRPr="006B775D">
        <w:rPr>
          <w:rFonts w:eastAsia="Arial"/>
          <w:lang w:eastAsia="en-US"/>
        </w:rPr>
        <w:t xml:space="preserve">supporting species movement, dispersal and genetic exchange. In doing so, they help underpin ecosystem resilience, particularly in parts of the country where natural habitats are otherwise isolated. </w:t>
      </w:r>
      <w:r w:rsidR="003D2238" w:rsidRPr="006B775D">
        <w:rPr>
          <w:rFonts w:eastAsia="Arial"/>
          <w:lang w:eastAsia="en-US"/>
        </w:rPr>
        <w:t xml:space="preserve">Current </w:t>
      </w:r>
      <w:r w:rsidR="00C408C4" w:rsidRPr="006B775D">
        <w:rPr>
          <w:rFonts w:eastAsia="Arial"/>
          <w:lang w:eastAsia="en-US"/>
        </w:rPr>
        <w:t xml:space="preserve">guidance doesn’t recommend including these </w:t>
      </w:r>
      <w:r w:rsidRPr="006B775D">
        <w:rPr>
          <w:rFonts w:eastAsia="Arial"/>
          <w:lang w:eastAsia="en-US"/>
        </w:rPr>
        <w:t>system-level benefits within natural capital accounts</w:t>
      </w:r>
      <w:r w:rsidR="00187A1B" w:rsidRPr="006B775D">
        <w:rPr>
          <w:rFonts w:eastAsia="Arial"/>
          <w:lang w:eastAsia="en-US"/>
        </w:rPr>
        <w:t xml:space="preserve"> </w:t>
      </w:r>
      <w:r w:rsidR="00DB5912" w:rsidRPr="006B775D">
        <w:rPr>
          <w:rFonts w:eastAsia="Arial"/>
          <w:lang w:eastAsia="en-US"/>
        </w:rPr>
        <w:t>due</w:t>
      </w:r>
      <w:r w:rsidR="00004D10" w:rsidRPr="006B775D">
        <w:rPr>
          <w:rFonts w:eastAsia="Arial"/>
          <w:lang w:eastAsia="en-US"/>
        </w:rPr>
        <w:t xml:space="preserve"> to </w:t>
      </w:r>
      <w:r w:rsidR="00DB5912" w:rsidRPr="006B775D">
        <w:rPr>
          <w:rFonts w:eastAsia="Arial"/>
          <w:lang w:eastAsia="en-US"/>
        </w:rPr>
        <w:t xml:space="preserve">the overlap with </w:t>
      </w:r>
      <w:r w:rsidR="000D6D84" w:rsidRPr="006B775D">
        <w:rPr>
          <w:rFonts w:eastAsia="Arial"/>
          <w:lang w:eastAsia="en-US"/>
        </w:rPr>
        <w:t xml:space="preserve">biodiversity </w:t>
      </w:r>
      <w:r w:rsidR="00DB5912" w:rsidRPr="006B775D">
        <w:rPr>
          <w:rFonts w:eastAsia="Arial"/>
          <w:lang w:eastAsia="en-US"/>
        </w:rPr>
        <w:t>be</w:t>
      </w:r>
      <w:r w:rsidR="00187A1B" w:rsidRPr="006B775D">
        <w:rPr>
          <w:rFonts w:eastAsia="Arial"/>
          <w:lang w:eastAsia="en-US"/>
        </w:rPr>
        <w:t>n</w:t>
      </w:r>
      <w:r w:rsidR="00DB5912" w:rsidRPr="006B775D">
        <w:rPr>
          <w:rFonts w:eastAsia="Arial"/>
          <w:lang w:eastAsia="en-US"/>
        </w:rPr>
        <w:t>efits</w:t>
      </w:r>
      <w:r w:rsidR="000D6D84" w:rsidRPr="006B775D">
        <w:rPr>
          <w:rFonts w:eastAsia="Arial"/>
          <w:lang w:eastAsia="en-US"/>
        </w:rPr>
        <w:t xml:space="preserve"> </w:t>
      </w:r>
      <w:r w:rsidR="008B3056" w:rsidRPr="006B775D">
        <w:rPr>
          <w:rFonts w:eastAsia="Arial"/>
          <w:lang w:eastAsia="en-US"/>
        </w:rPr>
        <w:t xml:space="preserve">(which </w:t>
      </w:r>
      <w:r w:rsidR="007F725F" w:rsidRPr="006B775D">
        <w:rPr>
          <w:rFonts w:eastAsia="Arial"/>
          <w:lang w:eastAsia="en-US"/>
        </w:rPr>
        <w:t>are</w:t>
      </w:r>
      <w:r w:rsidR="008B3056" w:rsidRPr="006B775D">
        <w:rPr>
          <w:rFonts w:eastAsia="Arial"/>
          <w:lang w:eastAsia="en-US"/>
        </w:rPr>
        <w:t xml:space="preserve"> not monetised because they are embedded </w:t>
      </w:r>
      <w:r w:rsidR="00C07162" w:rsidRPr="006B775D">
        <w:rPr>
          <w:rFonts w:eastAsia="Arial"/>
          <w:lang w:eastAsia="en-US"/>
        </w:rPr>
        <w:t xml:space="preserve">across different ecosystem </w:t>
      </w:r>
      <w:r w:rsidR="006B775D" w:rsidRPr="006B775D">
        <w:rPr>
          <w:rFonts w:eastAsia="Arial"/>
          <w:lang w:eastAsia="en-US"/>
        </w:rPr>
        <w:t>services) but</w:t>
      </w:r>
      <w:r w:rsidR="00C408C4" w:rsidRPr="006B775D">
        <w:rPr>
          <w:rFonts w:eastAsia="Arial"/>
          <w:lang w:eastAsia="en-US"/>
        </w:rPr>
        <w:t xml:space="preserve"> they</w:t>
      </w:r>
      <w:r w:rsidRPr="006B775D">
        <w:rPr>
          <w:rFonts w:eastAsia="Arial"/>
          <w:lang w:eastAsia="en-US"/>
        </w:rPr>
        <w:t xml:space="preserve"> represent an important component of the</w:t>
      </w:r>
      <w:r w:rsidR="00C408C4" w:rsidRPr="006B775D">
        <w:rPr>
          <w:rFonts w:eastAsia="Arial"/>
          <w:lang w:eastAsia="en-US"/>
        </w:rPr>
        <w:t xml:space="preserve"> value of the Trust’s natural assets.</w:t>
      </w:r>
      <w:r w:rsidR="001575B0" w:rsidRPr="006B775D">
        <w:rPr>
          <w:rFonts w:eastAsia="Arial"/>
          <w:lang w:eastAsia="en-US"/>
        </w:rPr>
        <w:t xml:space="preserve"> This is an are</w:t>
      </w:r>
      <w:r w:rsidR="00784E7F" w:rsidRPr="006B775D">
        <w:rPr>
          <w:rFonts w:eastAsia="Arial"/>
          <w:lang w:eastAsia="en-US"/>
        </w:rPr>
        <w:t>a</w:t>
      </w:r>
      <w:r w:rsidR="001575B0" w:rsidRPr="006B775D">
        <w:rPr>
          <w:rFonts w:eastAsia="Arial"/>
          <w:lang w:eastAsia="en-US"/>
        </w:rPr>
        <w:t xml:space="preserve"> of potential future research.</w:t>
      </w:r>
    </w:p>
    <w:p w14:paraId="18116C3C" w14:textId="77777777" w:rsidR="00135453" w:rsidRPr="006B775D" w:rsidRDefault="00135453" w:rsidP="003C263A">
      <w:pPr>
        <w:pBdr>
          <w:top w:val="single" w:sz="4" w:space="1" w:color="auto"/>
          <w:left w:val="single" w:sz="4" w:space="4" w:color="auto"/>
          <w:bottom w:val="single" w:sz="4" w:space="1" w:color="auto"/>
          <w:right w:val="single" w:sz="4" w:space="4" w:color="auto"/>
        </w:pBdr>
        <w:rPr>
          <w:rFonts w:eastAsia="Arial"/>
          <w:lang w:eastAsia="en-US"/>
        </w:rPr>
      </w:pPr>
    </w:p>
    <w:p w14:paraId="64D779C8" w14:textId="77777777" w:rsidR="00BD48DE" w:rsidRDefault="00BD48DE" w:rsidP="00BD48DE">
      <w:pPr>
        <w:spacing w:after="180" w:line="240" w:lineRule="atLeast"/>
        <w:rPr>
          <w:rFonts w:ascii="Arial" w:eastAsia="Arial" w:hAnsi="Arial"/>
          <w:kern w:val="18"/>
          <w:szCs w:val="18"/>
          <w:lang w:eastAsia="en-US"/>
        </w:rPr>
      </w:pPr>
    </w:p>
    <w:p w14:paraId="4234598D" w14:textId="77777777" w:rsidR="00BD00D2" w:rsidRDefault="00BD00D2">
      <w:pPr>
        <w:spacing w:after="0"/>
        <w:jc w:val="left"/>
        <w:rPr>
          <w:rFonts w:eastAsiaTheme="minorHAnsi" w:cstheme="minorBidi"/>
          <w:i/>
          <w:iCs/>
          <w:kern w:val="18"/>
          <w:szCs w:val="18"/>
          <w:lang w:eastAsia="zh-TW"/>
        </w:rPr>
      </w:pPr>
      <w:r>
        <w:rPr>
          <w:i/>
          <w:iCs/>
          <w:lang w:eastAsia="zh-TW"/>
        </w:rPr>
        <w:br w:type="page"/>
      </w:r>
    </w:p>
    <w:p w14:paraId="29A1A6EC" w14:textId="44D1DDBC" w:rsidR="00F0181B" w:rsidRPr="000D0DA0" w:rsidRDefault="00AE0295" w:rsidP="00B36DF8">
      <w:pPr>
        <w:pStyle w:val="BodyText"/>
        <w:rPr>
          <w:rFonts w:asciiTheme="majorHAnsi" w:hAnsiTheme="majorHAnsi"/>
          <w:lang w:eastAsia="zh-TW"/>
        </w:rPr>
      </w:pPr>
      <w:r w:rsidRPr="000D0DA0">
        <w:rPr>
          <w:rFonts w:asciiTheme="majorHAnsi" w:hAnsiTheme="majorHAnsi"/>
          <w:lang w:eastAsia="zh-TW"/>
        </w:rPr>
        <w:lastRenderedPageBreak/>
        <w:t xml:space="preserve">Asset </w:t>
      </w:r>
      <w:r w:rsidR="00F0181B" w:rsidRPr="000D0DA0">
        <w:rPr>
          <w:rFonts w:asciiTheme="majorHAnsi" w:hAnsiTheme="majorHAnsi"/>
          <w:lang w:eastAsia="zh-TW"/>
        </w:rPr>
        <w:t>Register</w:t>
      </w:r>
    </w:p>
    <w:p w14:paraId="3DB7D383" w14:textId="42E7405F" w:rsidR="00B36DF8" w:rsidRDefault="00B36DF8" w:rsidP="00B36DF8">
      <w:pPr>
        <w:pStyle w:val="BodyText"/>
        <w:rPr>
          <w:noProof/>
        </w:rPr>
      </w:pPr>
      <w:r w:rsidRPr="00247AE5">
        <w:rPr>
          <w:lang w:eastAsia="zh-TW"/>
        </w:rPr>
        <w:t xml:space="preserve">The Trust manages </w:t>
      </w:r>
      <w:r>
        <w:rPr>
          <w:lang w:eastAsia="zh-TW"/>
        </w:rPr>
        <w:t>2,977km of watercourses and 11,079 hectares of total land area across England and Wales. The w</w:t>
      </w:r>
      <w:r>
        <w:t>atercourse footprint accounts for just under half of the total land area. Of the non-watercourse land area, this is mainly comprised of woodland and forest (14%), urban (13</w:t>
      </w:r>
      <w:r w:rsidRPr="002C37E4">
        <w:t>%</w:t>
      </w:r>
      <w:r>
        <w:t>) and reservoirs and pond (lakes) (11</w:t>
      </w:r>
      <w:r w:rsidRPr="002C37E4">
        <w:t>%</w:t>
      </w:r>
      <w:r>
        <w:t xml:space="preserve">) habitats (see Figure </w:t>
      </w:r>
      <w:r w:rsidR="0029726A">
        <w:t>2</w:t>
      </w:r>
      <w:r>
        <w:t>).</w:t>
      </w:r>
      <w:r w:rsidR="00E83073" w:rsidRPr="00E83073">
        <w:rPr>
          <w:noProof/>
        </w:rPr>
        <w:t xml:space="preserve"> </w:t>
      </w:r>
    </w:p>
    <w:p w14:paraId="5491186D" w14:textId="164DC339" w:rsidR="00F13B92" w:rsidRDefault="00F13B92" w:rsidP="00F13B92">
      <w:pPr>
        <w:pStyle w:val="BodyText"/>
        <w:rPr>
          <w:noProof/>
        </w:rPr>
      </w:pPr>
      <w:r>
        <w:rPr>
          <w:b/>
          <w:bCs/>
          <w:lang w:eastAsia="zh-TW"/>
        </w:rPr>
        <w:t>Figure 2</w:t>
      </w:r>
      <w:r w:rsidRPr="004E3746">
        <w:rPr>
          <w:b/>
          <w:bCs/>
          <w:lang w:eastAsia="zh-TW"/>
        </w:rPr>
        <w:t xml:space="preserve">: </w:t>
      </w:r>
      <w:r>
        <w:rPr>
          <w:b/>
          <w:bCs/>
        </w:rPr>
        <w:t>Summary of extent of</w:t>
      </w:r>
      <w:r w:rsidR="000D0DA0">
        <w:rPr>
          <w:b/>
          <w:bCs/>
        </w:rPr>
        <w:t xml:space="preserve"> habitats</w:t>
      </w:r>
      <w:r>
        <w:rPr>
          <w:b/>
          <w:bCs/>
        </w:rPr>
        <w:t xml:space="preserve"> managed by the Trust in 2023.</w:t>
      </w:r>
      <w:r w:rsidRPr="00597FA9">
        <w:rPr>
          <w:noProof/>
        </w:rPr>
        <w:t xml:space="preserve"> </w:t>
      </w:r>
    </w:p>
    <w:p w14:paraId="46531895" w14:textId="56A63917" w:rsidR="00F13B92" w:rsidRDefault="00F13B92" w:rsidP="00B36DF8">
      <w:pPr>
        <w:pStyle w:val="BodyText"/>
      </w:pPr>
      <w:r>
        <w:rPr>
          <w:noProof/>
        </w:rPr>
        <mc:AlternateContent>
          <mc:Choice Requires="wps">
            <w:drawing>
              <wp:anchor distT="0" distB="0" distL="114300" distR="114300" simplePos="0" relativeHeight="251658243" behindDoc="0" locked="0" layoutInCell="1" allowOverlap="1" wp14:anchorId="1CBB4CE2" wp14:editId="3110BF07">
                <wp:simplePos x="0" y="0"/>
                <wp:positionH relativeFrom="rightMargin">
                  <wp:posOffset>-920750</wp:posOffset>
                </wp:positionH>
                <wp:positionV relativeFrom="paragraph">
                  <wp:posOffset>2552651</wp:posOffset>
                </wp:positionV>
                <wp:extent cx="951197" cy="569742"/>
                <wp:effectExtent l="0" t="0" r="0" b="1905"/>
                <wp:wrapNone/>
                <wp:docPr id="81400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5B71AED2" w14:textId="77777777" w:rsidR="00F13B92" w:rsidRPr="00923BA3" w:rsidRDefault="00F13B92" w:rsidP="00F13B92">
                            <w:pPr>
                              <w:tabs>
                                <w:tab w:val="left" w:pos="284"/>
                              </w:tabs>
                              <w:spacing w:line="240" w:lineRule="exact"/>
                              <w:jc w:val="center"/>
                              <w:rPr>
                                <w:rFonts w:eastAsia="Arial"/>
                                <w:b/>
                                <w:bCs/>
                                <w:kern w:val="18"/>
                              </w:rPr>
                            </w:pPr>
                            <w:r w:rsidRPr="00923BA3">
                              <w:rPr>
                                <w:rFonts w:eastAsia="Arial"/>
                                <w:b/>
                                <w:bCs/>
                                <w:kern w:val="18"/>
                              </w:rPr>
                              <w:t>Total area: 11,079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1CBB4CE2" id="_x0000_s1028" type="#_x0000_t202" style="position:absolute;left:0;text-align:left;margin-left:-72.5pt;margin-top:201pt;width:74.9pt;height:44.85pt;z-index:251658243;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" filled="f" stroked="f">
                <v:textbox inset="2.47803mm,1.239mm,2.47803mm,1.239mm">
                  <w:txbxContent>
                    <w:p w14:paraId="5B71AED2" w14:textId="77777777" w:rsidR="00F13B92" w:rsidRPr="00923BA3" w:rsidRDefault="00F13B92" w:rsidP="00F13B92">
                      <w:pPr>
                        <w:tabs>
                          <w:tab w:val="left" w:pos="284"/>
                        </w:tabs>
                        <w:spacing w:line="240" w:lineRule="exact"/>
                        <w:jc w:val="center"/>
                        <w:rPr>
                          <w:rFonts w:eastAsia="Arial"/>
                          <w:b/>
                          <w:bCs/>
                          <w:kern w:val="18"/>
                        </w:rPr>
                      </w:pPr>
                      <w:r w:rsidRPr="00923BA3">
                        <w:rPr>
                          <w:rFonts w:eastAsia="Arial"/>
                          <w:b/>
                          <w:bCs/>
                          <w:kern w:val="18"/>
                        </w:rPr>
                        <w:t>Total area: 11,079 hectares</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2BBCE07F" wp14:editId="26E53895">
                <wp:simplePos x="0" y="0"/>
                <wp:positionH relativeFrom="column">
                  <wp:posOffset>801858</wp:posOffset>
                </wp:positionH>
                <wp:positionV relativeFrom="paragraph">
                  <wp:posOffset>2081384</wp:posOffset>
                </wp:positionV>
                <wp:extent cx="1787945" cy="400489"/>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945" cy="400489"/>
                        </a:xfrm>
                        <a:prstGeom prst="rect">
                          <a:avLst/>
                        </a:prstGeom>
                        <a:solidFill>
                          <a:schemeClr val="bg1"/>
                        </a:solidFill>
                        <a:ln w="9525">
                          <a:noFill/>
                          <a:miter lim="800000"/>
                          <a:headEnd/>
                          <a:tailEnd/>
                        </a:ln>
                      </wps:spPr>
                      <wps:txbx>
                        <w:txbxContent>
                          <w:p w14:paraId="5F36B4D9" w14:textId="77777777" w:rsidR="00F13B92" w:rsidRDefault="00F13B92" w:rsidP="00F13B92">
                            <w:pPr>
                              <w:tabs>
                                <w:tab w:val="left" w:pos="284"/>
                              </w:tabs>
                              <w:spacing w:after="160"/>
                              <w:jc w:val="center"/>
                              <w:rPr>
                                <w:rFonts w:eastAsia="Arial" w:hAnsi="Modern Era"/>
                                <w:b/>
                                <w:bCs/>
                                <w:kern w:val="18"/>
                              </w:rPr>
                            </w:pPr>
                            <w:r>
                              <w:rPr>
                                <w:rFonts w:eastAsia="Arial" w:hAnsi="Modern Era"/>
                                <w:b/>
                                <w:bCs/>
                                <w:kern w:val="18"/>
                              </w:rPr>
                              <w:t>Total watercourse length: 2,977km</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2BBCE07F" id="Text Box 1" o:spid="_x0000_s1029" type="#_x0000_t202" style="position:absolute;left:0;text-align:left;margin-left:63.15pt;margin-top:163.9pt;width:140.8pt;height:31.5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" fillcolor="white [3212]" stroked="f">
                <v:textbox inset="2.47803mm,1.239mm,2.47803mm,1.239mm">
                  <w:txbxContent>
                    <w:p w14:paraId="5F36B4D9" w14:textId="77777777" w:rsidR="00F13B92" w:rsidRDefault="00F13B92" w:rsidP="00F13B92">
                      <w:pPr>
                        <w:tabs>
                          <w:tab w:val="left" w:pos="284"/>
                        </w:tabs>
                        <w:spacing w:after="160"/>
                        <w:jc w:val="center"/>
                        <w:rPr>
                          <w:rFonts w:eastAsia="Arial" w:hAnsi="Modern Era"/>
                          <w:b/>
                          <w:bCs/>
                          <w:kern w:val="18"/>
                        </w:rPr>
                      </w:pPr>
                      <w:r>
                        <w:rPr>
                          <w:rFonts w:eastAsia="Arial" w:hAnsi="Modern Era"/>
                          <w:b/>
                          <w:bCs/>
                          <w:kern w:val="18"/>
                        </w:rPr>
                        <w:t>Total watercourse length: 2,977km</w:t>
                      </w:r>
                    </w:p>
                  </w:txbxContent>
                </v:textbox>
              </v:shape>
            </w:pict>
          </mc:Fallback>
        </mc:AlternateContent>
      </w:r>
      <w:r>
        <w:rPr>
          <w:noProof/>
        </w:rPr>
        <w:drawing>
          <wp:inline distT="0" distB="0" distL="0" distR="0" wp14:anchorId="2922BA25" wp14:editId="5FAE8FAE">
            <wp:extent cx="5761355" cy="3968750"/>
            <wp:effectExtent l="0" t="0" r="0" b="0"/>
            <wp:docPr id="1512422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968750"/>
                    </a:xfrm>
                    <a:prstGeom prst="rect">
                      <a:avLst/>
                    </a:prstGeom>
                    <a:noFill/>
                  </pic:spPr>
                </pic:pic>
              </a:graphicData>
            </a:graphic>
          </wp:inline>
        </w:drawing>
      </w:r>
    </w:p>
    <w:p w14:paraId="1997551F" w14:textId="0B5F31D5" w:rsidR="00E83073" w:rsidRDefault="00E83073" w:rsidP="00B36DF8">
      <w:pPr>
        <w:pStyle w:val="BodyText"/>
        <w:rPr>
          <w:noProof/>
        </w:rPr>
      </w:pPr>
    </w:p>
    <w:p w14:paraId="0C0F81A1" w14:textId="77777777" w:rsidR="004C1C9D" w:rsidRDefault="00A654E1" w:rsidP="00597FA9">
      <w:r>
        <w:rPr>
          <w:lang w:eastAsia="zh-TW"/>
        </w:rPr>
        <w:t xml:space="preserve">Within the 2023 ecological baseline, each parcel of land is given a condition score using the Defra Biodiversity Metric. For the non-watercourse land area, 0.3% of habitat area under Trust management responsibility </w:t>
      </w:r>
      <w:r>
        <w:t>are classified as being in ‘Good’ condition, with 28.3% and 37.1% of the natural assets in ‘Moderate’ and ‘Poor’ condition respectively; the remaining 34.2% of assets do not have a condition assessment</w:t>
      </w:r>
      <w:r>
        <w:rPr>
          <w:rStyle w:val="FootnoteReference"/>
        </w:rPr>
        <w:footnoteReference w:id="3"/>
      </w:r>
      <w:r>
        <w:t xml:space="preserve"> (see Figure 3). </w:t>
      </w:r>
    </w:p>
    <w:p w14:paraId="6B6D9D8C" w14:textId="0884B0AD" w:rsidR="00A853F6" w:rsidRPr="00F06E58" w:rsidRDefault="00A654E1" w:rsidP="00A654E1">
      <w:pPr>
        <w:pStyle w:val="BodyText"/>
        <w:rPr>
          <w:lang w:eastAsia="zh-TW"/>
        </w:rPr>
      </w:pPr>
      <w:r>
        <w:t xml:space="preserve">For the watercourse habitats, condition is assigned based on </w:t>
      </w:r>
      <w:r w:rsidR="00A61808" w:rsidRPr="00A61808">
        <w:t xml:space="preserve">Water Framework Directive (WFD) </w:t>
      </w:r>
      <w:r w:rsidR="00CE355A">
        <w:t>Ecological Class</w:t>
      </w:r>
      <w:r>
        <w:t xml:space="preserve">. </w:t>
      </w:r>
      <w:r w:rsidR="00AB485B">
        <w:t>38.8</w:t>
      </w:r>
      <w:r>
        <w:t xml:space="preserve">% of Trust-managed watercourses are classified as </w:t>
      </w:r>
      <w:r w:rsidR="00CE355A">
        <w:t>being</w:t>
      </w:r>
      <w:r w:rsidR="00AB485B">
        <w:t xml:space="preserve"> in ‘Good’ condition, </w:t>
      </w:r>
      <w:r w:rsidR="00CF2756">
        <w:t>54.9%</w:t>
      </w:r>
      <w:r w:rsidR="0046603E">
        <w:t xml:space="preserve"> </w:t>
      </w:r>
      <w:r w:rsidR="00854B1E">
        <w:t>as being in</w:t>
      </w:r>
      <w:r w:rsidR="004C1C9D">
        <w:t xml:space="preserve"> ‘</w:t>
      </w:r>
      <w:r>
        <w:t xml:space="preserve">Moderate’ </w:t>
      </w:r>
      <w:r w:rsidR="00854B1E">
        <w:t>condition</w:t>
      </w:r>
      <w:r>
        <w:t xml:space="preserve">, </w:t>
      </w:r>
      <w:r w:rsidR="009008FB">
        <w:t>2</w:t>
      </w:r>
      <w:r w:rsidR="00136632">
        <w:t>.4</w:t>
      </w:r>
      <w:r w:rsidR="009008FB">
        <w:t xml:space="preserve">% </w:t>
      </w:r>
      <w:r w:rsidR="0075598D">
        <w:t>being in</w:t>
      </w:r>
      <w:r w:rsidR="009008FB">
        <w:t xml:space="preserve"> ‘</w:t>
      </w:r>
      <w:r w:rsidR="00CC5F9E">
        <w:t>P</w:t>
      </w:r>
      <w:r w:rsidR="00592C0C">
        <w:t xml:space="preserve">oor’ </w:t>
      </w:r>
      <w:r w:rsidR="0075598D">
        <w:t>condition</w:t>
      </w:r>
      <w:r w:rsidR="00592C0C">
        <w:t xml:space="preserve">, </w:t>
      </w:r>
      <w:r w:rsidR="00136632">
        <w:t>0.4</w:t>
      </w:r>
      <w:r w:rsidR="00CC5F9E">
        <w:t>%</w:t>
      </w:r>
      <w:r w:rsidR="00333B83">
        <w:t xml:space="preserve"> </w:t>
      </w:r>
      <w:r w:rsidR="0075598D">
        <w:t>being in</w:t>
      </w:r>
      <w:r w:rsidR="00333B83">
        <w:t xml:space="preserve"> ‘Bad’ </w:t>
      </w:r>
      <w:r w:rsidR="0075598D">
        <w:t>condition</w:t>
      </w:r>
      <w:r w:rsidR="00333B83">
        <w:t>, and the remaining</w:t>
      </w:r>
      <w:r>
        <w:t xml:space="preserve"> </w:t>
      </w:r>
      <w:r w:rsidR="006155B1">
        <w:t>3</w:t>
      </w:r>
      <w:r w:rsidR="00136632">
        <w:t>.5</w:t>
      </w:r>
      <w:r>
        <w:t xml:space="preserve">% </w:t>
      </w:r>
      <w:r w:rsidR="00E31A2A">
        <w:t xml:space="preserve">not having any WFD </w:t>
      </w:r>
      <w:r w:rsidR="0075598D">
        <w:t>Ecological Class</w:t>
      </w:r>
      <w:r w:rsidR="00711250">
        <w:t xml:space="preserve"> (see Figure 3)</w:t>
      </w:r>
      <w:r w:rsidR="00C2005A">
        <w:t>.</w:t>
      </w:r>
      <w:r w:rsidR="00E31A2A">
        <w:t xml:space="preserve"> </w:t>
      </w:r>
    </w:p>
    <w:p w14:paraId="09DD231A" w14:textId="77777777" w:rsidR="00711250" w:rsidRDefault="00711250" w:rsidP="00A654E1">
      <w:pPr>
        <w:pStyle w:val="BodyText"/>
      </w:pPr>
    </w:p>
    <w:p w14:paraId="4E1A4069" w14:textId="77777777" w:rsidR="00711250" w:rsidRDefault="00711250" w:rsidP="00A654E1">
      <w:pPr>
        <w:pStyle w:val="BodyText"/>
      </w:pPr>
    </w:p>
    <w:p w14:paraId="24A4E713" w14:textId="77777777" w:rsidR="00711250" w:rsidRDefault="00711250" w:rsidP="00A654E1">
      <w:pPr>
        <w:pStyle w:val="BodyText"/>
      </w:pPr>
    </w:p>
    <w:p w14:paraId="5DE16BCB" w14:textId="77777777" w:rsidR="00711250" w:rsidRPr="00F06E58" w:rsidRDefault="00711250" w:rsidP="00A654E1">
      <w:pPr>
        <w:pStyle w:val="BodyText"/>
        <w:rPr>
          <w:lang w:eastAsia="zh-TW"/>
        </w:rPr>
      </w:pPr>
    </w:p>
    <w:p w14:paraId="5ECA2A7F" w14:textId="07BC55D0" w:rsidR="00B36DF8" w:rsidRDefault="00B36DF8" w:rsidP="00B36DF8">
      <w:pPr>
        <w:pStyle w:val="BodyText"/>
        <w:rPr>
          <w:b/>
          <w:bCs/>
        </w:rPr>
      </w:pPr>
      <w:r>
        <w:rPr>
          <w:b/>
          <w:bCs/>
          <w:lang w:eastAsia="zh-TW"/>
        </w:rPr>
        <w:lastRenderedPageBreak/>
        <w:t xml:space="preserve">Figure </w:t>
      </w:r>
      <w:r w:rsidR="00C91FDC">
        <w:rPr>
          <w:b/>
          <w:bCs/>
          <w:lang w:eastAsia="zh-TW"/>
        </w:rPr>
        <w:t>3</w:t>
      </w:r>
      <w:r w:rsidRPr="004E3746">
        <w:rPr>
          <w:b/>
          <w:bCs/>
          <w:lang w:eastAsia="zh-TW"/>
        </w:rPr>
        <w:t xml:space="preserve">: </w:t>
      </w:r>
      <w:r>
        <w:rPr>
          <w:b/>
          <w:bCs/>
        </w:rPr>
        <w:t>Summary of condition</w:t>
      </w:r>
      <w:r w:rsidR="00EA47DA">
        <w:rPr>
          <w:b/>
          <w:bCs/>
        </w:rPr>
        <w:t xml:space="preserve"> </w:t>
      </w:r>
      <w:r>
        <w:rPr>
          <w:b/>
          <w:bCs/>
        </w:rPr>
        <w:t>of natural assets managed by the Trust in 2023.</w:t>
      </w:r>
      <w:r w:rsidR="00C875F9">
        <w:rPr>
          <w:b/>
          <w:bCs/>
        </w:rPr>
        <w:t xml:space="preserve"> For Habitats this is measured using the Defra Biodiversity metric</w:t>
      </w:r>
      <w:r w:rsidR="005758B2">
        <w:rPr>
          <w:b/>
          <w:bCs/>
        </w:rPr>
        <w:t xml:space="preserve">. </w:t>
      </w:r>
      <w:r w:rsidR="000A07DB">
        <w:rPr>
          <w:b/>
          <w:bCs/>
        </w:rPr>
        <w:t xml:space="preserve">For Watercourses this is measured using Water Framework Directive (WFD) </w:t>
      </w:r>
      <w:r w:rsidR="00CE355A">
        <w:rPr>
          <w:b/>
          <w:bCs/>
        </w:rPr>
        <w:t>Ecological Class</w:t>
      </w:r>
      <w:r w:rsidR="000A07DB">
        <w:rPr>
          <w:b/>
          <w:bCs/>
        </w:rPr>
        <w:t xml:space="preserve">. </w:t>
      </w:r>
    </w:p>
    <w:p w14:paraId="556E9BD6" w14:textId="1A750673" w:rsidR="00FE4964" w:rsidRDefault="00FE4964" w:rsidP="00B36DF8">
      <w:pPr>
        <w:pStyle w:val="BodyText"/>
        <w:rPr>
          <w:b/>
          <w:bCs/>
        </w:rPr>
      </w:pPr>
      <w:r>
        <w:rPr>
          <w:b/>
          <w:bCs/>
          <w:noProof/>
        </w:rPr>
        <w:drawing>
          <wp:inline distT="0" distB="0" distL="0" distR="0" wp14:anchorId="3538F247" wp14:editId="101FE008">
            <wp:extent cx="5724525" cy="2822575"/>
            <wp:effectExtent l="0" t="0" r="9525" b="0"/>
            <wp:docPr id="1461755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822575"/>
                    </a:xfrm>
                    <a:prstGeom prst="rect">
                      <a:avLst/>
                    </a:prstGeom>
                    <a:noFill/>
                  </pic:spPr>
                </pic:pic>
              </a:graphicData>
            </a:graphic>
          </wp:inline>
        </w:drawing>
      </w:r>
    </w:p>
    <w:p w14:paraId="3F8C6C2A" w14:textId="0891A44B" w:rsidR="009D4557" w:rsidRDefault="009D4557" w:rsidP="00A35AA1">
      <w:pPr>
        <w:pStyle w:val="Heading1"/>
      </w:pPr>
      <w:r w:rsidRPr="00F3081F">
        <w:t>Key Regio</w:t>
      </w:r>
      <w:r w:rsidR="005F2FFE">
        <w:t>nal Findings</w:t>
      </w:r>
    </w:p>
    <w:p w14:paraId="5F30328A" w14:textId="77777777" w:rsidR="000631AD" w:rsidRDefault="000631AD">
      <w:pPr>
        <w:pStyle w:val="BodyText"/>
        <w:rPr>
          <w:kern w:val="2"/>
          <w:szCs w:val="20"/>
          <w14:ligatures w14:val="standardContextual"/>
        </w:rPr>
      </w:pPr>
      <w:r>
        <w:t>The Canal &amp; River Trust operates within six self-defined regional boundaries: London &amp; South East, Yorkshire &amp; North East, East Midlands, North West, West Midlands, and Wales &amp; South West.</w:t>
      </w:r>
    </w:p>
    <w:p w14:paraId="2BE70CFC" w14:textId="0A7C189C" w:rsidR="006E2827" w:rsidRDefault="006E2827">
      <w:pPr>
        <w:pStyle w:val="BodyText"/>
        <w:rPr>
          <w:kern w:val="2"/>
          <w:szCs w:val="20"/>
          <w14:ligatures w14:val="standardContextual"/>
        </w:rPr>
      </w:pPr>
      <w:r>
        <w:t>There are large differences in the annual monetary flow and asset value between Trust regions in the baseline accounts. Table 2 shows that the natural capital value of the London &amp; South East region (£28.1</w:t>
      </w:r>
      <w:r w:rsidR="006317CC">
        <w:t>billion</w:t>
      </w:r>
      <w:r>
        <w:t>) is far larger than that of the other regions, driven primarily by recreation-related benefits and water provisioning. £4.8</w:t>
      </w:r>
      <w:r w:rsidR="006317CC">
        <w:t>billion</w:t>
      </w:r>
      <w:r>
        <w:t xml:space="preserve"> of the £28.1</w:t>
      </w:r>
      <w:r w:rsidR="006317CC">
        <w:t>billion</w:t>
      </w:r>
      <w:r>
        <w:t xml:space="preserve"> London &amp; South East natural capital value is driven by water provisioning. This reflects the current pattern of existing water transfer arrangements, which may change over time.</w:t>
      </w:r>
    </w:p>
    <w:p w14:paraId="618C402E" w14:textId="1B49DA9D" w:rsidR="00D455C4" w:rsidRDefault="005F2FFE" w:rsidP="005F2FFE">
      <w:pPr>
        <w:pStyle w:val="BodyText"/>
      </w:pPr>
      <w:r>
        <w:t>London &amp; South East also delivers the majority of urban heat regulating benefits</w:t>
      </w:r>
      <w:r w:rsidR="00A87DAE">
        <w:t xml:space="preserve"> (</w:t>
      </w:r>
      <w:r w:rsidR="005C2116">
        <w:t>£0.7</w:t>
      </w:r>
      <w:r w:rsidR="006317CC">
        <w:t>billion</w:t>
      </w:r>
      <w:r w:rsidR="005C2116">
        <w:t xml:space="preserve"> of the total £1.1</w:t>
      </w:r>
      <w:r w:rsidR="006317CC">
        <w:t>billion</w:t>
      </w:r>
      <w:r w:rsidR="00A87DAE">
        <w:t>)</w:t>
      </w:r>
      <w:r w:rsidR="00BE51F5">
        <w:t xml:space="preserve"> across all regions</w:t>
      </w:r>
      <w:r w:rsidR="00F94903">
        <w:t>, accounting for almost 65% of it</w:t>
      </w:r>
      <w:r w:rsidR="005C2116">
        <w:t>. This service reduces</w:t>
      </w:r>
      <w:r>
        <w:t xml:space="preserve"> the temperature of adjacent urban areas</w:t>
      </w:r>
      <w:r w:rsidR="004314B7">
        <w:t xml:space="preserve"> which in turn reduces the </w:t>
      </w:r>
      <w:r>
        <w:t xml:space="preserve">losses in labour productivity caused by hot days. This is due to the significant cooling effect generated by the London canal network and the large number of workers in London that may benefit from this cooling effect. </w:t>
      </w:r>
    </w:p>
    <w:p w14:paraId="78460981" w14:textId="40D828A1" w:rsidR="009E54C7" w:rsidRDefault="009E54C7" w:rsidP="005F2FFE">
      <w:pPr>
        <w:pStyle w:val="BodyText"/>
      </w:pPr>
      <w:r>
        <w:t xml:space="preserve">The Education benefits delivered by the North West and West Midlands regions are proportionally larger than for other regions. </w:t>
      </w:r>
      <w:r w:rsidR="004314B7">
        <w:t>T</w:t>
      </w:r>
      <w:r>
        <w:t>he Aesthetic and recreation (house prices) value delivered by the London &amp; South East region are relatively higher than for other regions due to the large number of households in close proximity to a waterway and higher than average house prices</w:t>
      </w:r>
      <w:r w:rsidR="00BC1992">
        <w:t xml:space="preserve"> in London</w:t>
      </w:r>
      <w:r>
        <w:t>.</w:t>
      </w:r>
      <w:r w:rsidR="00D903AE">
        <w:t xml:space="preserve"> S</w:t>
      </w:r>
      <w:r>
        <w:t xml:space="preserve">ee </w:t>
      </w:r>
      <w:r w:rsidR="00497CCA">
        <w:t>F</w:t>
      </w:r>
      <w:r>
        <w:t>igure 4</w:t>
      </w:r>
      <w:r w:rsidR="00D903AE">
        <w:t xml:space="preserve"> for the relative contribution</w:t>
      </w:r>
      <w:r w:rsidR="00F079DB">
        <w:t xml:space="preserve"> of region to the total monetary flow of each ecosystem service</w:t>
      </w:r>
      <w:r>
        <w:t>.</w:t>
      </w:r>
    </w:p>
    <w:p w14:paraId="6F6BAAD8" w14:textId="77777777" w:rsidR="00A72933" w:rsidRDefault="00A72933" w:rsidP="00786B8E">
      <w:pPr>
        <w:pStyle w:val="BodyText"/>
        <w:rPr>
          <w:b/>
          <w:bCs/>
          <w:lang w:eastAsia="zh-TW"/>
        </w:rPr>
        <w:sectPr w:rsidR="00A72933" w:rsidSect="0050178E">
          <w:pgSz w:w="11906" w:h="16838"/>
          <w:pgMar w:top="1134" w:right="1440" w:bottom="851" w:left="1440" w:header="709" w:footer="284" w:gutter="0"/>
          <w:cols w:space="708"/>
          <w:docGrid w:linePitch="360"/>
        </w:sectPr>
      </w:pPr>
    </w:p>
    <w:p w14:paraId="5FBF4EA9" w14:textId="10C4AE7A" w:rsidR="00786B8E" w:rsidRPr="00372A0D" w:rsidRDefault="00786B8E" w:rsidP="00786B8E">
      <w:pPr>
        <w:pStyle w:val="BodyText"/>
        <w:rPr>
          <w:b/>
          <w:bCs/>
          <w:lang w:eastAsia="zh-TW"/>
        </w:rPr>
      </w:pPr>
      <w:r>
        <w:rPr>
          <w:b/>
          <w:bCs/>
          <w:lang w:eastAsia="zh-TW"/>
        </w:rPr>
        <w:lastRenderedPageBreak/>
        <w:t xml:space="preserve">Table </w:t>
      </w:r>
      <w:r w:rsidR="00497CCA">
        <w:rPr>
          <w:b/>
          <w:bCs/>
          <w:lang w:eastAsia="zh-TW"/>
        </w:rPr>
        <w:t>2</w:t>
      </w:r>
      <w:r w:rsidRPr="004E3746">
        <w:rPr>
          <w:b/>
          <w:bCs/>
          <w:lang w:eastAsia="zh-TW"/>
        </w:rPr>
        <w:t xml:space="preserve">: </w:t>
      </w:r>
      <w:r>
        <w:rPr>
          <w:b/>
          <w:bCs/>
        </w:rPr>
        <w:t xml:space="preserve">Summary of breakdown of total natural capital </w:t>
      </w:r>
      <w:r w:rsidR="006070B1">
        <w:rPr>
          <w:b/>
          <w:bCs/>
        </w:rPr>
        <w:t xml:space="preserve">asset </w:t>
      </w:r>
      <w:r>
        <w:rPr>
          <w:b/>
          <w:bCs/>
        </w:rPr>
        <w:t>value by Trust region in 2023</w:t>
      </w:r>
      <w:r w:rsidR="0039259C">
        <w:rPr>
          <w:b/>
          <w:bCs/>
        </w:rPr>
        <w:t xml:space="preserve"> </w:t>
      </w:r>
      <w:r w:rsidR="0039259C" w:rsidRPr="0039259C">
        <w:rPr>
          <w:b/>
          <w:bCs/>
        </w:rPr>
        <w:t>(£millions</w:t>
      </w:r>
      <w:r w:rsidR="006317CC">
        <w:rPr>
          <w:b/>
          <w:bCs/>
        </w:rPr>
        <w:t xml:space="preserve"> (m)</w:t>
      </w:r>
      <w:r w:rsidR="0039259C" w:rsidRPr="0039259C">
        <w:rPr>
          <w:b/>
          <w:bCs/>
        </w:rPr>
        <w:t>, 2023 price year, 100-year period)</w:t>
      </w:r>
      <w:r>
        <w:rPr>
          <w:b/>
          <w:bCs/>
        </w:rPr>
        <w:t>.</w:t>
      </w:r>
    </w:p>
    <w:tbl>
      <w:tblPr>
        <w:tblW w:w="4989" w:type="pct"/>
        <w:tblLayout w:type="fixed"/>
        <w:tblLook w:val="04A0" w:firstRow="1" w:lastRow="0" w:firstColumn="1" w:lastColumn="0" w:noHBand="0" w:noVBand="1"/>
      </w:tblPr>
      <w:tblGrid>
        <w:gridCol w:w="3330"/>
        <w:gridCol w:w="1901"/>
        <w:gridCol w:w="364"/>
        <w:gridCol w:w="1539"/>
        <w:gridCol w:w="1901"/>
        <w:gridCol w:w="1901"/>
        <w:gridCol w:w="1379"/>
        <w:gridCol w:w="523"/>
        <w:gridCol w:w="706"/>
        <w:gridCol w:w="1271"/>
      </w:tblGrid>
      <w:tr w:rsidR="00E57E3E" w:rsidRPr="006472AF" w14:paraId="06DBD3C0" w14:textId="77777777" w:rsidTr="00BC1992">
        <w:trPr>
          <w:trHeight w:val="290"/>
        </w:trPr>
        <w:tc>
          <w:tcPr>
            <w:tcW w:w="3330" w:type="dxa"/>
            <w:vMerge w:val="restart"/>
            <w:tcBorders>
              <w:top w:val="single" w:sz="4" w:space="0" w:color="auto"/>
              <w:left w:val="single" w:sz="4" w:space="0" w:color="auto"/>
              <w:right w:val="single" w:sz="4" w:space="0" w:color="auto"/>
            </w:tcBorders>
            <w:shd w:val="clear" w:color="000000" w:fill="0E2841"/>
            <w:noWrap/>
            <w:vAlign w:val="center"/>
            <w:hideMark/>
          </w:tcPr>
          <w:p w14:paraId="752732DD" w14:textId="77777777" w:rsidR="00E57E3E" w:rsidRPr="006472AF" w:rsidRDefault="00E57E3E" w:rsidP="00C14756">
            <w:pPr>
              <w:spacing w:after="0"/>
              <w:rPr>
                <w:rFonts w:asciiTheme="majorHAnsi" w:hAnsiTheme="majorHAnsi" w:cstheme="majorHAnsi"/>
                <w:b/>
                <w:bCs/>
                <w:color w:val="FFFFFF"/>
              </w:rPr>
            </w:pPr>
            <w:r w:rsidRPr="006472AF">
              <w:rPr>
                <w:rFonts w:asciiTheme="majorHAnsi" w:hAnsiTheme="majorHAnsi" w:cstheme="majorHAnsi"/>
                <w:b/>
                <w:bCs/>
                <w:color w:val="FFFFFF"/>
              </w:rPr>
              <w:t>Ecosystem service</w:t>
            </w:r>
          </w:p>
        </w:tc>
        <w:tc>
          <w:tcPr>
            <w:tcW w:w="2265" w:type="dxa"/>
            <w:gridSpan w:val="2"/>
            <w:tcBorders>
              <w:top w:val="nil"/>
              <w:left w:val="nil"/>
              <w:bottom w:val="nil"/>
              <w:right w:val="nil"/>
            </w:tcBorders>
            <w:shd w:val="clear" w:color="000000" w:fill="0E2841"/>
          </w:tcPr>
          <w:p w14:paraId="7BD751C6" w14:textId="77777777" w:rsidR="00E57E3E" w:rsidRPr="006472AF" w:rsidRDefault="00E57E3E" w:rsidP="00C14756">
            <w:pPr>
              <w:spacing w:after="0"/>
              <w:jc w:val="center"/>
              <w:rPr>
                <w:rFonts w:asciiTheme="majorHAnsi" w:hAnsiTheme="majorHAnsi" w:cstheme="majorHAnsi"/>
                <w:b/>
                <w:bCs/>
                <w:color w:val="FFFFFF"/>
              </w:rPr>
            </w:pPr>
          </w:p>
        </w:tc>
        <w:tc>
          <w:tcPr>
            <w:tcW w:w="6720" w:type="dxa"/>
            <w:gridSpan w:val="4"/>
            <w:tcBorders>
              <w:top w:val="nil"/>
              <w:left w:val="nil"/>
              <w:bottom w:val="nil"/>
              <w:right w:val="nil"/>
            </w:tcBorders>
            <w:shd w:val="clear" w:color="000000" w:fill="0E2841"/>
            <w:noWrap/>
            <w:vAlign w:val="bottom"/>
            <w:hideMark/>
          </w:tcPr>
          <w:p w14:paraId="0E692520"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Asset value</w:t>
            </w:r>
          </w:p>
        </w:tc>
        <w:tc>
          <w:tcPr>
            <w:tcW w:w="1229" w:type="dxa"/>
            <w:gridSpan w:val="2"/>
            <w:tcBorders>
              <w:top w:val="nil"/>
              <w:left w:val="nil"/>
              <w:bottom w:val="nil"/>
              <w:right w:val="nil"/>
            </w:tcBorders>
            <w:shd w:val="clear" w:color="000000" w:fill="0E2841"/>
            <w:noWrap/>
            <w:vAlign w:val="bottom"/>
            <w:hideMark/>
          </w:tcPr>
          <w:p w14:paraId="72C1EA67" w14:textId="77777777" w:rsidR="00E57E3E" w:rsidRPr="006472AF" w:rsidRDefault="00E57E3E" w:rsidP="00C14756">
            <w:pPr>
              <w:spacing w:after="0"/>
              <w:rPr>
                <w:rFonts w:asciiTheme="majorHAnsi" w:hAnsiTheme="majorHAnsi" w:cstheme="majorHAnsi"/>
                <w:b/>
                <w:bCs/>
                <w:color w:val="FFFFFF"/>
              </w:rPr>
            </w:pPr>
            <w:r w:rsidRPr="006472AF">
              <w:rPr>
                <w:rFonts w:asciiTheme="majorHAnsi" w:hAnsiTheme="majorHAnsi" w:cstheme="majorHAnsi"/>
                <w:b/>
                <w:bCs/>
                <w:color w:val="FFFFFF"/>
              </w:rPr>
              <w:t> </w:t>
            </w:r>
          </w:p>
        </w:tc>
        <w:tc>
          <w:tcPr>
            <w:tcW w:w="1271" w:type="dxa"/>
            <w:tcBorders>
              <w:top w:val="nil"/>
              <w:left w:val="nil"/>
              <w:bottom w:val="nil"/>
              <w:right w:val="nil"/>
            </w:tcBorders>
            <w:shd w:val="clear" w:color="000000" w:fill="0E2841"/>
            <w:noWrap/>
            <w:vAlign w:val="bottom"/>
            <w:hideMark/>
          </w:tcPr>
          <w:p w14:paraId="144A70F3" w14:textId="77777777" w:rsidR="00E57E3E" w:rsidRPr="006472AF" w:rsidRDefault="00E57E3E" w:rsidP="00C14756">
            <w:pPr>
              <w:spacing w:after="0"/>
              <w:rPr>
                <w:rFonts w:asciiTheme="majorHAnsi" w:hAnsiTheme="majorHAnsi" w:cstheme="majorHAnsi"/>
                <w:b/>
                <w:bCs/>
                <w:color w:val="FFFFFF"/>
              </w:rPr>
            </w:pPr>
            <w:r w:rsidRPr="006472AF">
              <w:rPr>
                <w:rFonts w:asciiTheme="majorHAnsi" w:hAnsiTheme="majorHAnsi" w:cstheme="majorHAnsi"/>
                <w:b/>
                <w:bCs/>
                <w:color w:val="FFFFFF"/>
              </w:rPr>
              <w:t> </w:t>
            </w:r>
          </w:p>
        </w:tc>
      </w:tr>
      <w:tr w:rsidR="00E57E3E" w:rsidRPr="006472AF" w14:paraId="148FA66A" w14:textId="77777777" w:rsidTr="00BC1992">
        <w:trPr>
          <w:trHeight w:val="290"/>
        </w:trPr>
        <w:tc>
          <w:tcPr>
            <w:tcW w:w="3330" w:type="dxa"/>
            <w:vMerge/>
            <w:tcBorders>
              <w:left w:val="single" w:sz="4" w:space="0" w:color="auto"/>
              <w:bottom w:val="single" w:sz="4" w:space="0" w:color="auto"/>
              <w:right w:val="single" w:sz="4" w:space="0" w:color="auto"/>
            </w:tcBorders>
            <w:shd w:val="clear" w:color="000000" w:fill="0E2841"/>
            <w:noWrap/>
            <w:vAlign w:val="center"/>
            <w:hideMark/>
          </w:tcPr>
          <w:p w14:paraId="3A572C71" w14:textId="77777777" w:rsidR="00E57E3E" w:rsidRPr="006472AF" w:rsidRDefault="00E57E3E" w:rsidP="00C14756">
            <w:pPr>
              <w:spacing w:after="0"/>
              <w:rPr>
                <w:rFonts w:asciiTheme="majorHAnsi" w:hAnsiTheme="majorHAnsi" w:cstheme="majorHAnsi"/>
                <w:b/>
                <w:bCs/>
                <w:color w:val="FFFFFF"/>
              </w:rPr>
            </w:pPr>
          </w:p>
        </w:tc>
        <w:tc>
          <w:tcPr>
            <w:tcW w:w="1901" w:type="dxa"/>
            <w:tcBorders>
              <w:top w:val="nil"/>
              <w:left w:val="nil"/>
              <w:bottom w:val="nil"/>
              <w:right w:val="nil"/>
            </w:tcBorders>
            <w:shd w:val="clear" w:color="000000" w:fill="0E2841"/>
            <w:noWrap/>
            <w:vAlign w:val="center"/>
          </w:tcPr>
          <w:p w14:paraId="3D50ADAA"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London &amp; South East</w:t>
            </w:r>
          </w:p>
        </w:tc>
        <w:tc>
          <w:tcPr>
            <w:tcW w:w="1903" w:type="dxa"/>
            <w:gridSpan w:val="2"/>
            <w:tcBorders>
              <w:top w:val="nil"/>
              <w:left w:val="nil"/>
              <w:bottom w:val="nil"/>
              <w:right w:val="nil"/>
            </w:tcBorders>
            <w:shd w:val="clear" w:color="000000" w:fill="0E2841"/>
            <w:noWrap/>
            <w:vAlign w:val="center"/>
          </w:tcPr>
          <w:p w14:paraId="5B231897"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Yorkshire &amp; North East</w:t>
            </w:r>
          </w:p>
        </w:tc>
        <w:tc>
          <w:tcPr>
            <w:tcW w:w="1901" w:type="dxa"/>
            <w:tcBorders>
              <w:top w:val="nil"/>
              <w:left w:val="nil"/>
              <w:bottom w:val="nil"/>
              <w:right w:val="nil"/>
            </w:tcBorders>
            <w:shd w:val="clear" w:color="000000" w:fill="0E2841"/>
            <w:vAlign w:val="center"/>
          </w:tcPr>
          <w:p w14:paraId="6C733DC8"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East Midlands</w:t>
            </w:r>
          </w:p>
        </w:tc>
        <w:tc>
          <w:tcPr>
            <w:tcW w:w="1901" w:type="dxa"/>
            <w:tcBorders>
              <w:top w:val="nil"/>
              <w:left w:val="nil"/>
              <w:bottom w:val="nil"/>
              <w:right w:val="nil"/>
            </w:tcBorders>
            <w:shd w:val="clear" w:color="000000" w:fill="0E2841"/>
            <w:noWrap/>
            <w:vAlign w:val="center"/>
          </w:tcPr>
          <w:p w14:paraId="1C161533"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North West</w:t>
            </w:r>
          </w:p>
        </w:tc>
        <w:tc>
          <w:tcPr>
            <w:tcW w:w="1902" w:type="dxa"/>
            <w:gridSpan w:val="2"/>
            <w:tcBorders>
              <w:top w:val="nil"/>
              <w:left w:val="nil"/>
              <w:bottom w:val="nil"/>
              <w:right w:val="nil"/>
            </w:tcBorders>
            <w:shd w:val="clear" w:color="000000" w:fill="0E2841"/>
            <w:noWrap/>
            <w:vAlign w:val="center"/>
          </w:tcPr>
          <w:p w14:paraId="1637FC9A"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West Midlands</w:t>
            </w:r>
          </w:p>
        </w:tc>
        <w:tc>
          <w:tcPr>
            <w:tcW w:w="1977" w:type="dxa"/>
            <w:gridSpan w:val="2"/>
            <w:tcBorders>
              <w:top w:val="nil"/>
              <w:left w:val="nil"/>
              <w:bottom w:val="single" w:sz="4" w:space="0" w:color="auto"/>
              <w:right w:val="nil"/>
            </w:tcBorders>
            <w:shd w:val="clear" w:color="000000" w:fill="0E2841"/>
            <w:noWrap/>
            <w:vAlign w:val="center"/>
            <w:hideMark/>
          </w:tcPr>
          <w:p w14:paraId="7CE266D3"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Wales &amp; South West</w:t>
            </w:r>
          </w:p>
        </w:tc>
      </w:tr>
      <w:tr w:rsidR="00E57E3E" w:rsidRPr="006472AF" w14:paraId="4F3CBC77" w14:textId="77777777" w:rsidTr="00BC1992">
        <w:trPr>
          <w:trHeight w:val="340"/>
        </w:trPr>
        <w:tc>
          <w:tcPr>
            <w:tcW w:w="3330" w:type="dxa"/>
            <w:tcBorders>
              <w:top w:val="nil"/>
              <w:left w:val="single" w:sz="4" w:space="0" w:color="auto"/>
              <w:bottom w:val="single" w:sz="4" w:space="0" w:color="auto"/>
              <w:right w:val="nil"/>
            </w:tcBorders>
            <w:shd w:val="clear" w:color="auto" w:fill="165BAA" w:themeFill="text2"/>
            <w:noWrap/>
            <w:hideMark/>
          </w:tcPr>
          <w:p w14:paraId="65EFEA6D" w14:textId="77777777" w:rsidR="00E57E3E" w:rsidRPr="00BC1992" w:rsidRDefault="00E57E3E" w:rsidP="006531F0">
            <w:pPr>
              <w:spacing w:after="0"/>
              <w:jc w:val="left"/>
              <w:rPr>
                <w:rFonts w:asciiTheme="majorHAnsi" w:hAnsiTheme="majorHAnsi" w:cstheme="majorHAnsi"/>
                <w:color w:val="FFFFFF" w:themeColor="background1"/>
              </w:rPr>
            </w:pPr>
            <w:r w:rsidRPr="00BC1992">
              <w:rPr>
                <w:rFonts w:asciiTheme="majorHAnsi" w:hAnsiTheme="majorHAnsi" w:cstheme="majorHAnsi"/>
                <w:color w:val="FFFFFF" w:themeColor="background1"/>
              </w:rPr>
              <w:t>Provisioning services</w:t>
            </w:r>
          </w:p>
        </w:tc>
        <w:tc>
          <w:tcPr>
            <w:tcW w:w="1901" w:type="dxa"/>
            <w:tcBorders>
              <w:top w:val="single" w:sz="4" w:space="0" w:color="auto"/>
              <w:left w:val="nil"/>
              <w:bottom w:val="single" w:sz="4" w:space="0" w:color="auto"/>
              <w:right w:val="nil"/>
            </w:tcBorders>
            <w:shd w:val="clear" w:color="auto" w:fill="165BAA" w:themeFill="text2"/>
            <w:noWrap/>
            <w:vAlign w:val="bottom"/>
            <w:hideMark/>
          </w:tcPr>
          <w:p w14:paraId="40014119"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c>
          <w:tcPr>
            <w:tcW w:w="1903" w:type="dxa"/>
            <w:gridSpan w:val="2"/>
            <w:tcBorders>
              <w:top w:val="single" w:sz="4" w:space="0" w:color="auto"/>
              <w:left w:val="nil"/>
              <w:bottom w:val="single" w:sz="4" w:space="0" w:color="auto"/>
              <w:right w:val="nil"/>
            </w:tcBorders>
            <w:shd w:val="clear" w:color="auto" w:fill="165BAA" w:themeFill="text2"/>
            <w:noWrap/>
            <w:vAlign w:val="bottom"/>
            <w:hideMark/>
          </w:tcPr>
          <w:p w14:paraId="0B2B2C55"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c>
          <w:tcPr>
            <w:tcW w:w="1901" w:type="dxa"/>
            <w:tcBorders>
              <w:top w:val="single" w:sz="4" w:space="0" w:color="auto"/>
              <w:left w:val="nil"/>
              <w:bottom w:val="single" w:sz="4" w:space="0" w:color="auto"/>
              <w:right w:val="nil"/>
            </w:tcBorders>
            <w:shd w:val="clear" w:color="auto" w:fill="165BAA" w:themeFill="text2"/>
            <w:vAlign w:val="bottom"/>
          </w:tcPr>
          <w:p w14:paraId="125080F7"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single" w:sz="4" w:space="0" w:color="auto"/>
              <w:left w:val="nil"/>
              <w:bottom w:val="single" w:sz="4" w:space="0" w:color="auto"/>
              <w:right w:val="nil"/>
            </w:tcBorders>
            <w:shd w:val="clear" w:color="auto" w:fill="165BAA" w:themeFill="text2"/>
            <w:noWrap/>
            <w:vAlign w:val="bottom"/>
            <w:hideMark/>
          </w:tcPr>
          <w:p w14:paraId="35702D2B"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c>
          <w:tcPr>
            <w:tcW w:w="1902" w:type="dxa"/>
            <w:gridSpan w:val="2"/>
            <w:tcBorders>
              <w:top w:val="single" w:sz="4" w:space="0" w:color="auto"/>
              <w:left w:val="nil"/>
              <w:bottom w:val="single" w:sz="4" w:space="0" w:color="auto"/>
              <w:right w:val="nil"/>
            </w:tcBorders>
            <w:shd w:val="clear" w:color="auto" w:fill="165BAA" w:themeFill="text2"/>
            <w:noWrap/>
            <w:vAlign w:val="bottom"/>
            <w:hideMark/>
          </w:tcPr>
          <w:p w14:paraId="2B818F42"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c>
          <w:tcPr>
            <w:tcW w:w="1977" w:type="dxa"/>
            <w:gridSpan w:val="2"/>
            <w:tcBorders>
              <w:top w:val="single" w:sz="4" w:space="0" w:color="auto"/>
              <w:left w:val="nil"/>
              <w:bottom w:val="single" w:sz="4" w:space="0" w:color="auto"/>
              <w:right w:val="single" w:sz="4" w:space="0" w:color="auto"/>
            </w:tcBorders>
            <w:shd w:val="clear" w:color="auto" w:fill="165BAA" w:themeFill="text2"/>
            <w:noWrap/>
            <w:vAlign w:val="bottom"/>
            <w:hideMark/>
          </w:tcPr>
          <w:p w14:paraId="24619924"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r>
      <w:tr w:rsidR="00E57E3E" w:rsidRPr="006472AF" w14:paraId="6E385C7F" w14:textId="77777777" w:rsidTr="00BC1992">
        <w:trPr>
          <w:trHeight w:val="510"/>
        </w:trPr>
        <w:tc>
          <w:tcPr>
            <w:tcW w:w="3330" w:type="dxa"/>
            <w:tcBorders>
              <w:top w:val="single" w:sz="4" w:space="0" w:color="auto"/>
              <w:left w:val="single" w:sz="4" w:space="0" w:color="auto"/>
              <w:bottom w:val="single" w:sz="4" w:space="0" w:color="auto"/>
              <w:right w:val="single" w:sz="4" w:space="0" w:color="auto"/>
            </w:tcBorders>
            <w:vAlign w:val="center"/>
            <w:hideMark/>
          </w:tcPr>
          <w:p w14:paraId="6816F885" w14:textId="77777777" w:rsidR="00E57E3E" w:rsidRPr="006472AF" w:rsidRDefault="00E57E3E" w:rsidP="006531F0">
            <w:pPr>
              <w:spacing w:after="0"/>
              <w:jc w:val="left"/>
              <w:rPr>
                <w:rFonts w:cstheme="majorHAnsi"/>
                <w:color w:val="000000"/>
              </w:rPr>
            </w:pPr>
            <w:r w:rsidRPr="006472AF">
              <w:rPr>
                <w:rFonts w:cstheme="majorHAnsi"/>
                <w:color w:val="000000"/>
              </w:rPr>
              <w:t>Renewable energy provisioning</w:t>
            </w:r>
          </w:p>
        </w:tc>
        <w:tc>
          <w:tcPr>
            <w:tcW w:w="1901" w:type="dxa"/>
            <w:tcBorders>
              <w:top w:val="nil"/>
              <w:left w:val="nil"/>
              <w:bottom w:val="single" w:sz="4" w:space="0" w:color="auto"/>
              <w:right w:val="single" w:sz="4" w:space="0" w:color="auto"/>
            </w:tcBorders>
            <w:noWrap/>
            <w:vAlign w:val="center"/>
          </w:tcPr>
          <w:p w14:paraId="5448F79B" w14:textId="77777777" w:rsidR="00E57E3E" w:rsidRPr="006472AF" w:rsidRDefault="00E57E3E" w:rsidP="00C14756">
            <w:pPr>
              <w:spacing w:after="0"/>
              <w:jc w:val="right"/>
              <w:rPr>
                <w:rFonts w:cstheme="majorHAnsi"/>
              </w:rPr>
            </w:pPr>
            <w:r w:rsidRPr="006472AF">
              <w:rPr>
                <w:rFonts w:cstheme="majorHAnsi"/>
              </w:rPr>
              <w:t>£26.27m</w:t>
            </w:r>
          </w:p>
        </w:tc>
        <w:tc>
          <w:tcPr>
            <w:tcW w:w="1903" w:type="dxa"/>
            <w:gridSpan w:val="2"/>
            <w:tcBorders>
              <w:top w:val="nil"/>
              <w:left w:val="nil"/>
              <w:bottom w:val="single" w:sz="4" w:space="0" w:color="auto"/>
              <w:right w:val="single" w:sz="4" w:space="0" w:color="auto"/>
            </w:tcBorders>
            <w:noWrap/>
            <w:vAlign w:val="center"/>
          </w:tcPr>
          <w:p w14:paraId="0E4FE7BA" w14:textId="77777777" w:rsidR="00E57E3E" w:rsidRPr="006472AF" w:rsidRDefault="00E57E3E" w:rsidP="00C14756">
            <w:pPr>
              <w:spacing w:after="0"/>
              <w:jc w:val="right"/>
              <w:rPr>
                <w:rFonts w:cstheme="majorHAnsi"/>
              </w:rPr>
            </w:pPr>
            <w:r w:rsidRPr="006472AF">
              <w:rPr>
                <w:rFonts w:cstheme="majorHAnsi"/>
              </w:rPr>
              <w:t>£7.30m</w:t>
            </w:r>
          </w:p>
        </w:tc>
        <w:tc>
          <w:tcPr>
            <w:tcW w:w="1901" w:type="dxa"/>
            <w:tcBorders>
              <w:top w:val="nil"/>
              <w:left w:val="nil"/>
              <w:bottom w:val="single" w:sz="4" w:space="0" w:color="auto"/>
              <w:right w:val="single" w:sz="4" w:space="0" w:color="auto"/>
            </w:tcBorders>
            <w:vAlign w:val="center"/>
          </w:tcPr>
          <w:p w14:paraId="2A798C0F" w14:textId="77777777" w:rsidR="00E57E3E" w:rsidRPr="006472AF" w:rsidRDefault="00E57E3E" w:rsidP="00C14756">
            <w:pPr>
              <w:spacing w:after="0"/>
              <w:jc w:val="right"/>
              <w:rPr>
                <w:rFonts w:cstheme="majorHAnsi"/>
              </w:rPr>
            </w:pPr>
            <w:r w:rsidRPr="006472AF">
              <w:rPr>
                <w:rFonts w:cstheme="majorHAnsi"/>
              </w:rPr>
              <w:t>£16.75m</w:t>
            </w:r>
          </w:p>
        </w:tc>
        <w:tc>
          <w:tcPr>
            <w:tcW w:w="1901" w:type="dxa"/>
            <w:tcBorders>
              <w:top w:val="single" w:sz="4" w:space="0" w:color="auto"/>
              <w:left w:val="single" w:sz="4" w:space="0" w:color="auto"/>
              <w:bottom w:val="single" w:sz="4" w:space="0" w:color="auto"/>
              <w:right w:val="single" w:sz="4" w:space="0" w:color="auto"/>
            </w:tcBorders>
            <w:noWrap/>
            <w:vAlign w:val="center"/>
          </w:tcPr>
          <w:p w14:paraId="13FEEBDA" w14:textId="77777777" w:rsidR="00E57E3E" w:rsidRPr="006472AF" w:rsidRDefault="00E57E3E" w:rsidP="00C14756">
            <w:pPr>
              <w:spacing w:after="0"/>
              <w:jc w:val="right"/>
              <w:rPr>
                <w:rFonts w:cstheme="majorHAnsi"/>
              </w:rPr>
            </w:pPr>
            <w:r w:rsidRPr="006472AF">
              <w:rPr>
                <w:rFonts w:cstheme="majorHAnsi"/>
              </w:rPr>
              <w:t>£0.08m</w:t>
            </w:r>
          </w:p>
        </w:tc>
        <w:tc>
          <w:tcPr>
            <w:tcW w:w="1902" w:type="dxa"/>
            <w:gridSpan w:val="2"/>
            <w:tcBorders>
              <w:top w:val="nil"/>
              <w:left w:val="nil"/>
              <w:bottom w:val="single" w:sz="4" w:space="0" w:color="auto"/>
              <w:right w:val="single" w:sz="4" w:space="0" w:color="auto"/>
            </w:tcBorders>
            <w:noWrap/>
            <w:vAlign w:val="center"/>
          </w:tcPr>
          <w:p w14:paraId="35AAB9DA" w14:textId="77777777" w:rsidR="00E57E3E" w:rsidRPr="006472AF" w:rsidRDefault="00E57E3E" w:rsidP="00C14756">
            <w:pPr>
              <w:spacing w:after="0"/>
              <w:jc w:val="right"/>
              <w:rPr>
                <w:rFonts w:cstheme="majorHAnsi"/>
              </w:rPr>
            </w:pPr>
            <w:r w:rsidRPr="006472AF">
              <w:rPr>
                <w:rFonts w:cstheme="majorHAnsi"/>
              </w:rPr>
              <w:t>£1.03m</w:t>
            </w:r>
          </w:p>
        </w:tc>
        <w:tc>
          <w:tcPr>
            <w:tcW w:w="1977" w:type="dxa"/>
            <w:gridSpan w:val="2"/>
            <w:tcBorders>
              <w:top w:val="single" w:sz="4" w:space="0" w:color="auto"/>
              <w:left w:val="nil"/>
              <w:bottom w:val="single" w:sz="4" w:space="0" w:color="auto"/>
              <w:right w:val="single" w:sz="4" w:space="0" w:color="auto"/>
            </w:tcBorders>
            <w:noWrap/>
            <w:vAlign w:val="center"/>
          </w:tcPr>
          <w:p w14:paraId="71A8A7C0" w14:textId="77777777" w:rsidR="00E57E3E" w:rsidRPr="006472AF" w:rsidRDefault="00E57E3E" w:rsidP="00C14756">
            <w:pPr>
              <w:spacing w:after="0"/>
              <w:jc w:val="right"/>
              <w:rPr>
                <w:rFonts w:cstheme="majorHAnsi"/>
              </w:rPr>
            </w:pPr>
            <w:r w:rsidRPr="006472AF">
              <w:rPr>
                <w:rFonts w:cstheme="majorHAnsi"/>
              </w:rPr>
              <w:t>£1.03m</w:t>
            </w:r>
          </w:p>
        </w:tc>
      </w:tr>
      <w:tr w:rsidR="00E57E3E" w:rsidRPr="006472AF" w14:paraId="429E2700" w14:textId="77777777" w:rsidTr="00BC1992">
        <w:trPr>
          <w:trHeight w:val="510"/>
        </w:trPr>
        <w:tc>
          <w:tcPr>
            <w:tcW w:w="3330" w:type="dxa"/>
            <w:tcBorders>
              <w:top w:val="nil"/>
              <w:left w:val="single" w:sz="4" w:space="0" w:color="auto"/>
              <w:bottom w:val="single" w:sz="4" w:space="0" w:color="auto"/>
              <w:right w:val="single" w:sz="4" w:space="0" w:color="auto"/>
            </w:tcBorders>
            <w:vAlign w:val="center"/>
            <w:hideMark/>
          </w:tcPr>
          <w:p w14:paraId="034155C6" w14:textId="77777777" w:rsidR="00E57E3E" w:rsidRPr="006472AF" w:rsidRDefault="00E57E3E" w:rsidP="006531F0">
            <w:pPr>
              <w:spacing w:after="0"/>
              <w:jc w:val="left"/>
              <w:rPr>
                <w:rFonts w:cstheme="majorHAnsi"/>
                <w:color w:val="000000"/>
              </w:rPr>
            </w:pPr>
            <w:r w:rsidRPr="006472AF">
              <w:rPr>
                <w:rFonts w:cstheme="majorHAnsi"/>
                <w:color w:val="000000"/>
              </w:rPr>
              <w:t xml:space="preserve">Water provisioning </w:t>
            </w:r>
          </w:p>
        </w:tc>
        <w:tc>
          <w:tcPr>
            <w:tcW w:w="1901" w:type="dxa"/>
            <w:tcBorders>
              <w:top w:val="nil"/>
              <w:left w:val="nil"/>
              <w:bottom w:val="single" w:sz="4" w:space="0" w:color="auto"/>
              <w:right w:val="single" w:sz="4" w:space="0" w:color="auto"/>
            </w:tcBorders>
            <w:noWrap/>
            <w:vAlign w:val="center"/>
          </w:tcPr>
          <w:p w14:paraId="7C84341D" w14:textId="77777777" w:rsidR="00E57E3E" w:rsidRPr="006472AF" w:rsidRDefault="00E57E3E" w:rsidP="00C14756">
            <w:pPr>
              <w:spacing w:after="0"/>
              <w:jc w:val="right"/>
              <w:rPr>
                <w:rFonts w:cstheme="majorHAnsi"/>
              </w:rPr>
            </w:pPr>
            <w:r w:rsidRPr="006472AF">
              <w:rPr>
                <w:rFonts w:cstheme="majorHAnsi"/>
              </w:rPr>
              <w:t>£4,839.66m</w:t>
            </w:r>
          </w:p>
        </w:tc>
        <w:tc>
          <w:tcPr>
            <w:tcW w:w="1903" w:type="dxa"/>
            <w:gridSpan w:val="2"/>
            <w:tcBorders>
              <w:top w:val="nil"/>
              <w:left w:val="nil"/>
              <w:bottom w:val="single" w:sz="4" w:space="0" w:color="auto"/>
              <w:right w:val="single" w:sz="4" w:space="0" w:color="auto"/>
            </w:tcBorders>
            <w:noWrap/>
            <w:vAlign w:val="center"/>
          </w:tcPr>
          <w:p w14:paraId="76D03CA9" w14:textId="77777777" w:rsidR="00E57E3E" w:rsidRPr="006472AF" w:rsidRDefault="00E57E3E" w:rsidP="00C14756">
            <w:pPr>
              <w:spacing w:after="0"/>
              <w:jc w:val="right"/>
              <w:rPr>
                <w:rFonts w:cstheme="majorHAnsi"/>
              </w:rPr>
            </w:pPr>
            <w:r w:rsidRPr="006472AF">
              <w:rPr>
                <w:rFonts w:cstheme="majorHAnsi"/>
              </w:rPr>
              <w:t>£0.00m</w:t>
            </w:r>
          </w:p>
        </w:tc>
        <w:tc>
          <w:tcPr>
            <w:tcW w:w="1901" w:type="dxa"/>
            <w:tcBorders>
              <w:top w:val="nil"/>
              <w:left w:val="nil"/>
              <w:bottom w:val="single" w:sz="4" w:space="0" w:color="auto"/>
              <w:right w:val="single" w:sz="4" w:space="0" w:color="auto"/>
            </w:tcBorders>
            <w:vAlign w:val="center"/>
          </w:tcPr>
          <w:p w14:paraId="2DB4278A" w14:textId="77777777" w:rsidR="00E57E3E" w:rsidRPr="006472AF" w:rsidRDefault="00E57E3E" w:rsidP="00C14756">
            <w:pPr>
              <w:spacing w:after="0"/>
              <w:jc w:val="right"/>
              <w:rPr>
                <w:rFonts w:cstheme="majorHAnsi"/>
              </w:rPr>
            </w:pPr>
            <w:r w:rsidRPr="006472AF">
              <w:rPr>
                <w:rFonts w:cstheme="majorHAnsi"/>
              </w:rPr>
              <w:t>£0.00m</w:t>
            </w:r>
          </w:p>
        </w:tc>
        <w:tc>
          <w:tcPr>
            <w:tcW w:w="1901" w:type="dxa"/>
            <w:tcBorders>
              <w:top w:val="single" w:sz="4" w:space="0" w:color="auto"/>
              <w:left w:val="single" w:sz="4" w:space="0" w:color="auto"/>
              <w:bottom w:val="single" w:sz="4" w:space="0" w:color="auto"/>
              <w:right w:val="single" w:sz="4" w:space="0" w:color="auto"/>
            </w:tcBorders>
            <w:noWrap/>
            <w:vAlign w:val="center"/>
          </w:tcPr>
          <w:p w14:paraId="735DB49E" w14:textId="77777777" w:rsidR="00E57E3E" w:rsidRPr="006472AF" w:rsidRDefault="00E57E3E" w:rsidP="00C14756">
            <w:pPr>
              <w:spacing w:after="0"/>
              <w:jc w:val="right"/>
              <w:rPr>
                <w:rFonts w:cstheme="majorHAnsi"/>
              </w:rPr>
            </w:pPr>
            <w:r w:rsidRPr="006472AF">
              <w:rPr>
                <w:rFonts w:cstheme="majorHAnsi"/>
              </w:rPr>
              <w:t>£0.00m</w:t>
            </w:r>
          </w:p>
        </w:tc>
        <w:tc>
          <w:tcPr>
            <w:tcW w:w="1902" w:type="dxa"/>
            <w:gridSpan w:val="2"/>
            <w:tcBorders>
              <w:top w:val="nil"/>
              <w:left w:val="nil"/>
              <w:bottom w:val="single" w:sz="4" w:space="0" w:color="auto"/>
              <w:right w:val="single" w:sz="4" w:space="0" w:color="auto"/>
            </w:tcBorders>
            <w:noWrap/>
            <w:vAlign w:val="center"/>
          </w:tcPr>
          <w:p w14:paraId="6CE70948" w14:textId="77777777" w:rsidR="00E57E3E" w:rsidRPr="006472AF" w:rsidRDefault="00E57E3E" w:rsidP="00C14756">
            <w:pPr>
              <w:spacing w:after="0"/>
              <w:jc w:val="right"/>
              <w:rPr>
                <w:rFonts w:cstheme="majorHAnsi"/>
              </w:rPr>
            </w:pPr>
            <w:r w:rsidRPr="006472AF">
              <w:rPr>
                <w:rFonts w:cstheme="majorHAnsi"/>
              </w:rPr>
              <w:t>£399.28m</w:t>
            </w:r>
          </w:p>
        </w:tc>
        <w:tc>
          <w:tcPr>
            <w:tcW w:w="1977" w:type="dxa"/>
            <w:gridSpan w:val="2"/>
            <w:tcBorders>
              <w:top w:val="single" w:sz="4" w:space="0" w:color="auto"/>
              <w:left w:val="nil"/>
              <w:bottom w:val="single" w:sz="4" w:space="0" w:color="auto"/>
              <w:right w:val="single" w:sz="4" w:space="0" w:color="auto"/>
            </w:tcBorders>
            <w:noWrap/>
            <w:vAlign w:val="center"/>
          </w:tcPr>
          <w:p w14:paraId="765C00F8" w14:textId="77777777" w:rsidR="00E57E3E" w:rsidRPr="006472AF" w:rsidRDefault="00E57E3E" w:rsidP="00C14756">
            <w:pPr>
              <w:spacing w:after="0"/>
              <w:jc w:val="right"/>
              <w:rPr>
                <w:rFonts w:cstheme="majorHAnsi"/>
              </w:rPr>
            </w:pPr>
            <w:r w:rsidRPr="006472AF">
              <w:rPr>
                <w:rFonts w:cstheme="majorHAnsi"/>
              </w:rPr>
              <w:t>£871.14m</w:t>
            </w:r>
          </w:p>
        </w:tc>
      </w:tr>
      <w:tr w:rsidR="00E57E3E" w:rsidRPr="006472AF" w14:paraId="54A4D39C" w14:textId="77777777" w:rsidTr="00BC1992">
        <w:trPr>
          <w:trHeight w:val="340"/>
        </w:trPr>
        <w:tc>
          <w:tcPr>
            <w:tcW w:w="3330" w:type="dxa"/>
            <w:tcBorders>
              <w:top w:val="single" w:sz="4" w:space="0" w:color="auto"/>
              <w:left w:val="single" w:sz="4" w:space="0" w:color="auto"/>
              <w:bottom w:val="single" w:sz="4" w:space="0" w:color="auto"/>
              <w:right w:val="nil"/>
            </w:tcBorders>
            <w:shd w:val="clear" w:color="auto" w:fill="165BAA" w:themeFill="text2"/>
            <w:noWrap/>
            <w:hideMark/>
          </w:tcPr>
          <w:p w14:paraId="484AFD0C" w14:textId="77777777" w:rsidR="00E57E3E" w:rsidRPr="00BC1992" w:rsidRDefault="00E57E3E" w:rsidP="006531F0">
            <w:pPr>
              <w:spacing w:after="0"/>
              <w:jc w:val="left"/>
              <w:rPr>
                <w:rFonts w:asciiTheme="majorHAnsi" w:hAnsiTheme="majorHAnsi" w:cstheme="majorHAnsi"/>
                <w:color w:val="FFFFFF" w:themeColor="background1"/>
              </w:rPr>
            </w:pPr>
            <w:r w:rsidRPr="00BC1992">
              <w:rPr>
                <w:rFonts w:asciiTheme="majorHAnsi" w:hAnsiTheme="majorHAnsi" w:cstheme="majorHAnsi"/>
                <w:color w:val="FFFFFF" w:themeColor="background1"/>
              </w:rPr>
              <w:t>Regulating services</w:t>
            </w:r>
          </w:p>
        </w:tc>
        <w:tc>
          <w:tcPr>
            <w:tcW w:w="1901" w:type="dxa"/>
            <w:tcBorders>
              <w:top w:val="nil"/>
              <w:left w:val="nil"/>
              <w:bottom w:val="single" w:sz="4" w:space="0" w:color="auto"/>
              <w:right w:val="nil"/>
            </w:tcBorders>
            <w:shd w:val="clear" w:color="auto" w:fill="165BAA" w:themeFill="text2"/>
            <w:noWrap/>
            <w:vAlign w:val="center"/>
          </w:tcPr>
          <w:p w14:paraId="7FDA8B39" w14:textId="77777777" w:rsidR="00E57E3E" w:rsidRPr="00BC1992" w:rsidRDefault="00E57E3E" w:rsidP="00C14756">
            <w:pPr>
              <w:spacing w:after="0"/>
              <w:jc w:val="right"/>
              <w:rPr>
                <w:rFonts w:asciiTheme="majorHAnsi" w:hAnsiTheme="majorHAnsi" w:cstheme="majorHAnsi"/>
                <w:color w:val="FFFFFF" w:themeColor="background1"/>
              </w:rPr>
            </w:pPr>
          </w:p>
        </w:tc>
        <w:tc>
          <w:tcPr>
            <w:tcW w:w="1903" w:type="dxa"/>
            <w:gridSpan w:val="2"/>
            <w:tcBorders>
              <w:top w:val="nil"/>
              <w:left w:val="nil"/>
              <w:bottom w:val="single" w:sz="4" w:space="0" w:color="auto"/>
              <w:right w:val="nil"/>
            </w:tcBorders>
            <w:shd w:val="clear" w:color="auto" w:fill="165BAA" w:themeFill="text2"/>
            <w:noWrap/>
            <w:vAlign w:val="center"/>
          </w:tcPr>
          <w:p w14:paraId="7E1C100D"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nil"/>
              <w:left w:val="nil"/>
              <w:bottom w:val="single" w:sz="4" w:space="0" w:color="auto"/>
              <w:right w:val="nil"/>
            </w:tcBorders>
            <w:shd w:val="clear" w:color="auto" w:fill="165BAA" w:themeFill="text2"/>
            <w:vAlign w:val="center"/>
          </w:tcPr>
          <w:p w14:paraId="15A0B6CA"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nil"/>
              <w:left w:val="nil"/>
              <w:bottom w:val="single" w:sz="4" w:space="0" w:color="auto"/>
              <w:right w:val="nil"/>
            </w:tcBorders>
            <w:shd w:val="clear" w:color="auto" w:fill="165BAA" w:themeFill="text2"/>
            <w:noWrap/>
            <w:vAlign w:val="center"/>
          </w:tcPr>
          <w:p w14:paraId="519124CB" w14:textId="77777777" w:rsidR="00E57E3E" w:rsidRPr="00BC1992" w:rsidRDefault="00E57E3E" w:rsidP="00C14756">
            <w:pPr>
              <w:spacing w:after="0"/>
              <w:jc w:val="right"/>
              <w:rPr>
                <w:rFonts w:asciiTheme="majorHAnsi" w:hAnsiTheme="majorHAnsi" w:cstheme="majorHAnsi"/>
                <w:color w:val="FFFFFF" w:themeColor="background1"/>
              </w:rPr>
            </w:pPr>
          </w:p>
        </w:tc>
        <w:tc>
          <w:tcPr>
            <w:tcW w:w="1902" w:type="dxa"/>
            <w:gridSpan w:val="2"/>
            <w:tcBorders>
              <w:top w:val="nil"/>
              <w:left w:val="nil"/>
              <w:bottom w:val="single" w:sz="4" w:space="0" w:color="auto"/>
              <w:right w:val="nil"/>
            </w:tcBorders>
            <w:shd w:val="clear" w:color="auto" w:fill="165BAA" w:themeFill="text2"/>
            <w:noWrap/>
            <w:vAlign w:val="center"/>
          </w:tcPr>
          <w:p w14:paraId="483D6F8A" w14:textId="77777777" w:rsidR="00E57E3E" w:rsidRPr="00BC1992" w:rsidRDefault="00E57E3E" w:rsidP="00C14756">
            <w:pPr>
              <w:spacing w:after="0"/>
              <w:jc w:val="right"/>
              <w:rPr>
                <w:rFonts w:asciiTheme="majorHAnsi" w:hAnsiTheme="majorHAnsi" w:cstheme="majorHAnsi"/>
                <w:color w:val="FFFFFF" w:themeColor="background1"/>
              </w:rPr>
            </w:pPr>
          </w:p>
        </w:tc>
        <w:tc>
          <w:tcPr>
            <w:tcW w:w="1977" w:type="dxa"/>
            <w:gridSpan w:val="2"/>
            <w:tcBorders>
              <w:top w:val="single" w:sz="4" w:space="0" w:color="auto"/>
              <w:left w:val="nil"/>
              <w:bottom w:val="single" w:sz="4" w:space="0" w:color="auto"/>
              <w:right w:val="single" w:sz="4" w:space="0" w:color="auto"/>
            </w:tcBorders>
            <w:shd w:val="clear" w:color="auto" w:fill="165BAA" w:themeFill="text2"/>
            <w:noWrap/>
            <w:vAlign w:val="center"/>
          </w:tcPr>
          <w:p w14:paraId="77ECDB45" w14:textId="77777777" w:rsidR="00E57E3E" w:rsidRPr="00BC1992" w:rsidRDefault="00E57E3E" w:rsidP="00C14756">
            <w:pPr>
              <w:spacing w:after="0"/>
              <w:jc w:val="right"/>
              <w:rPr>
                <w:rFonts w:asciiTheme="majorHAnsi" w:hAnsiTheme="majorHAnsi" w:cstheme="majorHAnsi"/>
                <w:color w:val="FFFFFF" w:themeColor="background1"/>
              </w:rPr>
            </w:pPr>
          </w:p>
        </w:tc>
      </w:tr>
      <w:tr w:rsidR="00E57E3E" w:rsidRPr="006472AF" w14:paraId="22B7CB94" w14:textId="77777777" w:rsidTr="00BC1992">
        <w:trPr>
          <w:trHeight w:val="510"/>
        </w:trPr>
        <w:tc>
          <w:tcPr>
            <w:tcW w:w="3330" w:type="dxa"/>
            <w:tcBorders>
              <w:top w:val="single" w:sz="4" w:space="0" w:color="auto"/>
              <w:left w:val="single" w:sz="4" w:space="0" w:color="auto"/>
              <w:bottom w:val="single" w:sz="4" w:space="0" w:color="auto"/>
              <w:right w:val="single" w:sz="4" w:space="0" w:color="auto"/>
            </w:tcBorders>
            <w:vAlign w:val="center"/>
            <w:hideMark/>
          </w:tcPr>
          <w:p w14:paraId="5256F717" w14:textId="77777777" w:rsidR="00E57E3E" w:rsidRPr="006472AF" w:rsidRDefault="00E57E3E" w:rsidP="006531F0">
            <w:pPr>
              <w:spacing w:after="0"/>
              <w:jc w:val="left"/>
              <w:rPr>
                <w:rFonts w:cstheme="majorHAnsi"/>
                <w:color w:val="000000"/>
              </w:rPr>
            </w:pPr>
            <w:r w:rsidRPr="006472AF">
              <w:rPr>
                <w:rFonts w:cstheme="majorHAnsi"/>
                <w:color w:val="000000"/>
              </w:rPr>
              <w:t>Air pollution regulating</w:t>
            </w:r>
          </w:p>
        </w:tc>
        <w:tc>
          <w:tcPr>
            <w:tcW w:w="1901" w:type="dxa"/>
            <w:tcBorders>
              <w:top w:val="nil"/>
              <w:left w:val="nil"/>
              <w:bottom w:val="single" w:sz="4" w:space="0" w:color="auto"/>
              <w:right w:val="single" w:sz="4" w:space="0" w:color="auto"/>
            </w:tcBorders>
            <w:noWrap/>
            <w:vAlign w:val="center"/>
          </w:tcPr>
          <w:p w14:paraId="6D520B03" w14:textId="77777777" w:rsidR="00E57E3E" w:rsidRPr="006472AF" w:rsidRDefault="00E57E3E" w:rsidP="00C14756">
            <w:pPr>
              <w:spacing w:after="0"/>
              <w:jc w:val="right"/>
              <w:rPr>
                <w:rFonts w:cstheme="majorHAnsi"/>
              </w:rPr>
            </w:pPr>
            <w:r w:rsidRPr="006472AF">
              <w:rPr>
                <w:rFonts w:cstheme="majorHAnsi"/>
              </w:rPr>
              <w:t>£5.85m</w:t>
            </w:r>
          </w:p>
        </w:tc>
        <w:tc>
          <w:tcPr>
            <w:tcW w:w="1903" w:type="dxa"/>
            <w:gridSpan w:val="2"/>
            <w:tcBorders>
              <w:top w:val="nil"/>
              <w:left w:val="nil"/>
              <w:bottom w:val="single" w:sz="4" w:space="0" w:color="auto"/>
              <w:right w:val="single" w:sz="4" w:space="0" w:color="auto"/>
            </w:tcBorders>
            <w:noWrap/>
            <w:vAlign w:val="center"/>
          </w:tcPr>
          <w:p w14:paraId="7F7D743D" w14:textId="77777777" w:rsidR="00E57E3E" w:rsidRPr="006472AF" w:rsidRDefault="00E57E3E" w:rsidP="00C14756">
            <w:pPr>
              <w:spacing w:after="0"/>
              <w:jc w:val="right"/>
              <w:rPr>
                <w:rFonts w:cstheme="majorHAnsi"/>
              </w:rPr>
            </w:pPr>
            <w:r w:rsidRPr="006472AF">
              <w:rPr>
                <w:rFonts w:cstheme="majorHAnsi"/>
              </w:rPr>
              <w:t>£10.04m</w:t>
            </w:r>
          </w:p>
        </w:tc>
        <w:tc>
          <w:tcPr>
            <w:tcW w:w="1901" w:type="dxa"/>
            <w:tcBorders>
              <w:top w:val="nil"/>
              <w:left w:val="nil"/>
              <w:bottom w:val="single" w:sz="4" w:space="0" w:color="auto"/>
              <w:right w:val="single" w:sz="4" w:space="0" w:color="auto"/>
            </w:tcBorders>
            <w:vAlign w:val="center"/>
          </w:tcPr>
          <w:p w14:paraId="0AE135A2" w14:textId="77777777" w:rsidR="00E57E3E" w:rsidRPr="006472AF" w:rsidRDefault="00E57E3E" w:rsidP="00C14756">
            <w:pPr>
              <w:spacing w:after="0"/>
              <w:jc w:val="right"/>
              <w:rPr>
                <w:rFonts w:cstheme="majorHAnsi"/>
              </w:rPr>
            </w:pPr>
            <w:r w:rsidRPr="006472AF">
              <w:rPr>
                <w:rFonts w:cstheme="majorHAnsi"/>
              </w:rPr>
              <w:t>£6.89m</w:t>
            </w:r>
          </w:p>
        </w:tc>
        <w:tc>
          <w:tcPr>
            <w:tcW w:w="1901" w:type="dxa"/>
            <w:tcBorders>
              <w:top w:val="single" w:sz="4" w:space="0" w:color="auto"/>
              <w:left w:val="single" w:sz="4" w:space="0" w:color="auto"/>
              <w:bottom w:val="single" w:sz="4" w:space="0" w:color="auto"/>
              <w:right w:val="single" w:sz="4" w:space="0" w:color="auto"/>
            </w:tcBorders>
            <w:noWrap/>
            <w:vAlign w:val="center"/>
          </w:tcPr>
          <w:p w14:paraId="7CD349DC" w14:textId="77777777" w:rsidR="00E57E3E" w:rsidRPr="006472AF" w:rsidRDefault="00E57E3E" w:rsidP="00C14756">
            <w:pPr>
              <w:spacing w:after="0"/>
              <w:jc w:val="right"/>
              <w:rPr>
                <w:rFonts w:cstheme="majorHAnsi"/>
              </w:rPr>
            </w:pPr>
            <w:r w:rsidRPr="006472AF">
              <w:rPr>
                <w:rFonts w:cstheme="majorHAnsi"/>
              </w:rPr>
              <w:t>£13.41m</w:t>
            </w:r>
          </w:p>
        </w:tc>
        <w:tc>
          <w:tcPr>
            <w:tcW w:w="1902" w:type="dxa"/>
            <w:gridSpan w:val="2"/>
            <w:tcBorders>
              <w:top w:val="nil"/>
              <w:left w:val="nil"/>
              <w:bottom w:val="single" w:sz="4" w:space="0" w:color="auto"/>
              <w:right w:val="single" w:sz="4" w:space="0" w:color="auto"/>
            </w:tcBorders>
            <w:noWrap/>
            <w:vAlign w:val="center"/>
          </w:tcPr>
          <w:p w14:paraId="50C57E19" w14:textId="77777777" w:rsidR="00E57E3E" w:rsidRPr="006472AF" w:rsidRDefault="00E57E3E" w:rsidP="00C14756">
            <w:pPr>
              <w:spacing w:after="0"/>
              <w:jc w:val="right"/>
              <w:rPr>
                <w:rFonts w:cstheme="majorHAnsi"/>
              </w:rPr>
            </w:pPr>
            <w:r w:rsidRPr="006472AF">
              <w:rPr>
                <w:rFonts w:cstheme="majorHAnsi"/>
              </w:rPr>
              <w:t>£21.05m</w:t>
            </w:r>
          </w:p>
        </w:tc>
        <w:tc>
          <w:tcPr>
            <w:tcW w:w="1977" w:type="dxa"/>
            <w:gridSpan w:val="2"/>
            <w:tcBorders>
              <w:top w:val="single" w:sz="4" w:space="0" w:color="auto"/>
              <w:left w:val="nil"/>
              <w:bottom w:val="single" w:sz="4" w:space="0" w:color="auto"/>
              <w:right w:val="single" w:sz="4" w:space="0" w:color="auto"/>
            </w:tcBorders>
            <w:noWrap/>
            <w:vAlign w:val="center"/>
          </w:tcPr>
          <w:p w14:paraId="4383649E" w14:textId="77777777" w:rsidR="00E57E3E" w:rsidRPr="006472AF" w:rsidRDefault="00E57E3E" w:rsidP="00C14756">
            <w:pPr>
              <w:spacing w:after="0"/>
              <w:jc w:val="right"/>
              <w:rPr>
                <w:rFonts w:cstheme="majorHAnsi"/>
              </w:rPr>
            </w:pPr>
            <w:r w:rsidRPr="006472AF">
              <w:rPr>
                <w:rFonts w:cstheme="majorHAnsi"/>
              </w:rPr>
              <w:t>£8.69m</w:t>
            </w:r>
          </w:p>
        </w:tc>
      </w:tr>
      <w:tr w:rsidR="00E57E3E" w:rsidRPr="006472AF" w14:paraId="78743AA4" w14:textId="77777777" w:rsidTr="00BC1992">
        <w:trPr>
          <w:trHeight w:val="510"/>
        </w:trPr>
        <w:tc>
          <w:tcPr>
            <w:tcW w:w="3330" w:type="dxa"/>
            <w:tcBorders>
              <w:top w:val="nil"/>
              <w:left w:val="single" w:sz="4" w:space="0" w:color="auto"/>
              <w:bottom w:val="single" w:sz="4" w:space="0" w:color="auto"/>
              <w:right w:val="single" w:sz="4" w:space="0" w:color="auto"/>
            </w:tcBorders>
            <w:vAlign w:val="center"/>
            <w:hideMark/>
          </w:tcPr>
          <w:p w14:paraId="0009BFDE" w14:textId="77777777" w:rsidR="00E57E3E" w:rsidRPr="006472AF" w:rsidRDefault="00E57E3E" w:rsidP="006531F0">
            <w:pPr>
              <w:spacing w:after="0"/>
              <w:jc w:val="left"/>
              <w:rPr>
                <w:rFonts w:cstheme="majorHAnsi"/>
                <w:color w:val="000000"/>
              </w:rPr>
            </w:pPr>
            <w:r w:rsidRPr="006472AF">
              <w:rPr>
                <w:rFonts w:cstheme="majorHAnsi"/>
                <w:color w:val="000000"/>
              </w:rPr>
              <w:t>Greenhouse gas regulating</w:t>
            </w:r>
          </w:p>
        </w:tc>
        <w:tc>
          <w:tcPr>
            <w:tcW w:w="1901" w:type="dxa"/>
            <w:tcBorders>
              <w:top w:val="nil"/>
              <w:left w:val="nil"/>
              <w:bottom w:val="single" w:sz="4" w:space="0" w:color="auto"/>
              <w:right w:val="single" w:sz="4" w:space="0" w:color="auto"/>
            </w:tcBorders>
            <w:noWrap/>
            <w:vAlign w:val="center"/>
          </w:tcPr>
          <w:p w14:paraId="1112459F" w14:textId="77777777" w:rsidR="00E57E3E" w:rsidRPr="006472AF" w:rsidRDefault="00E57E3E" w:rsidP="00C14756">
            <w:pPr>
              <w:spacing w:after="0"/>
              <w:jc w:val="right"/>
              <w:rPr>
                <w:rFonts w:cstheme="majorHAnsi"/>
              </w:rPr>
            </w:pPr>
            <w:r w:rsidRPr="006472AF">
              <w:rPr>
                <w:rFonts w:cstheme="majorHAnsi"/>
              </w:rPr>
              <w:t>£35.87m</w:t>
            </w:r>
          </w:p>
        </w:tc>
        <w:tc>
          <w:tcPr>
            <w:tcW w:w="1903" w:type="dxa"/>
            <w:gridSpan w:val="2"/>
            <w:tcBorders>
              <w:top w:val="nil"/>
              <w:left w:val="nil"/>
              <w:bottom w:val="single" w:sz="4" w:space="0" w:color="auto"/>
              <w:right w:val="single" w:sz="4" w:space="0" w:color="auto"/>
            </w:tcBorders>
            <w:noWrap/>
            <w:vAlign w:val="center"/>
          </w:tcPr>
          <w:p w14:paraId="0505B16B" w14:textId="77777777" w:rsidR="00E57E3E" w:rsidRPr="006472AF" w:rsidRDefault="00E57E3E" w:rsidP="00C14756">
            <w:pPr>
              <w:spacing w:after="0"/>
              <w:jc w:val="right"/>
              <w:rPr>
                <w:rFonts w:cstheme="majorHAnsi"/>
              </w:rPr>
            </w:pPr>
            <w:r w:rsidRPr="006472AF">
              <w:rPr>
                <w:rFonts w:cstheme="majorHAnsi"/>
              </w:rPr>
              <w:t>£32.49m</w:t>
            </w:r>
          </w:p>
        </w:tc>
        <w:tc>
          <w:tcPr>
            <w:tcW w:w="1901" w:type="dxa"/>
            <w:tcBorders>
              <w:top w:val="nil"/>
              <w:left w:val="nil"/>
              <w:bottom w:val="single" w:sz="4" w:space="0" w:color="auto"/>
              <w:right w:val="single" w:sz="4" w:space="0" w:color="auto"/>
            </w:tcBorders>
            <w:vAlign w:val="center"/>
          </w:tcPr>
          <w:p w14:paraId="46741009" w14:textId="77777777" w:rsidR="00E57E3E" w:rsidRPr="006472AF" w:rsidRDefault="00E57E3E" w:rsidP="00C14756">
            <w:pPr>
              <w:spacing w:after="0"/>
              <w:jc w:val="right"/>
              <w:rPr>
                <w:rFonts w:cstheme="majorHAnsi"/>
              </w:rPr>
            </w:pPr>
            <w:r w:rsidRPr="006472AF">
              <w:rPr>
                <w:rFonts w:cstheme="majorHAnsi"/>
              </w:rPr>
              <w:t>£32.73m</w:t>
            </w:r>
          </w:p>
        </w:tc>
        <w:tc>
          <w:tcPr>
            <w:tcW w:w="1901" w:type="dxa"/>
            <w:tcBorders>
              <w:top w:val="single" w:sz="4" w:space="0" w:color="auto"/>
              <w:left w:val="single" w:sz="4" w:space="0" w:color="auto"/>
              <w:bottom w:val="single" w:sz="4" w:space="0" w:color="auto"/>
              <w:right w:val="single" w:sz="4" w:space="0" w:color="auto"/>
            </w:tcBorders>
            <w:noWrap/>
            <w:vAlign w:val="center"/>
          </w:tcPr>
          <w:p w14:paraId="6D97F976" w14:textId="77777777" w:rsidR="00E57E3E" w:rsidRPr="006472AF" w:rsidRDefault="00E57E3E" w:rsidP="00C14756">
            <w:pPr>
              <w:spacing w:after="0"/>
              <w:jc w:val="right"/>
              <w:rPr>
                <w:rFonts w:cstheme="majorHAnsi"/>
              </w:rPr>
            </w:pPr>
            <w:r w:rsidRPr="006472AF">
              <w:rPr>
                <w:rFonts w:cstheme="majorHAnsi"/>
              </w:rPr>
              <w:t>£65.82m</w:t>
            </w:r>
          </w:p>
        </w:tc>
        <w:tc>
          <w:tcPr>
            <w:tcW w:w="1902" w:type="dxa"/>
            <w:gridSpan w:val="2"/>
            <w:tcBorders>
              <w:top w:val="nil"/>
              <w:left w:val="nil"/>
              <w:bottom w:val="single" w:sz="4" w:space="0" w:color="auto"/>
              <w:right w:val="single" w:sz="4" w:space="0" w:color="auto"/>
            </w:tcBorders>
            <w:noWrap/>
            <w:vAlign w:val="center"/>
          </w:tcPr>
          <w:p w14:paraId="7A4A0379" w14:textId="77777777" w:rsidR="00E57E3E" w:rsidRPr="006472AF" w:rsidRDefault="00E57E3E" w:rsidP="00C14756">
            <w:pPr>
              <w:spacing w:after="0"/>
              <w:jc w:val="right"/>
              <w:rPr>
                <w:rFonts w:cstheme="majorHAnsi"/>
              </w:rPr>
            </w:pPr>
            <w:r w:rsidRPr="006472AF">
              <w:rPr>
                <w:rFonts w:cstheme="majorHAnsi"/>
              </w:rPr>
              <w:t>£86.69m</w:t>
            </w:r>
          </w:p>
        </w:tc>
        <w:tc>
          <w:tcPr>
            <w:tcW w:w="1977" w:type="dxa"/>
            <w:gridSpan w:val="2"/>
            <w:tcBorders>
              <w:top w:val="single" w:sz="4" w:space="0" w:color="auto"/>
              <w:left w:val="nil"/>
              <w:bottom w:val="single" w:sz="4" w:space="0" w:color="auto"/>
              <w:right w:val="single" w:sz="4" w:space="0" w:color="auto"/>
            </w:tcBorders>
            <w:noWrap/>
            <w:vAlign w:val="center"/>
          </w:tcPr>
          <w:p w14:paraId="04743079" w14:textId="77777777" w:rsidR="00E57E3E" w:rsidRPr="006472AF" w:rsidRDefault="00E57E3E" w:rsidP="00C14756">
            <w:pPr>
              <w:spacing w:after="0"/>
              <w:jc w:val="right"/>
              <w:rPr>
                <w:rFonts w:cstheme="majorHAnsi"/>
              </w:rPr>
            </w:pPr>
            <w:r w:rsidRPr="006472AF">
              <w:rPr>
                <w:rFonts w:cstheme="majorHAnsi"/>
              </w:rPr>
              <w:t>£25.40m</w:t>
            </w:r>
          </w:p>
        </w:tc>
      </w:tr>
      <w:tr w:rsidR="00E57E3E" w:rsidRPr="006472AF" w14:paraId="20423487" w14:textId="77777777" w:rsidTr="00BC1992">
        <w:trPr>
          <w:trHeight w:val="510"/>
        </w:trPr>
        <w:tc>
          <w:tcPr>
            <w:tcW w:w="3330" w:type="dxa"/>
            <w:tcBorders>
              <w:top w:val="nil"/>
              <w:left w:val="single" w:sz="4" w:space="0" w:color="auto"/>
              <w:bottom w:val="single" w:sz="4" w:space="0" w:color="auto"/>
              <w:right w:val="single" w:sz="4" w:space="0" w:color="auto"/>
            </w:tcBorders>
            <w:vAlign w:val="center"/>
          </w:tcPr>
          <w:p w14:paraId="1DFA979F" w14:textId="77777777" w:rsidR="00E57E3E" w:rsidRPr="006472AF" w:rsidRDefault="00E57E3E" w:rsidP="006531F0">
            <w:pPr>
              <w:spacing w:after="0"/>
              <w:jc w:val="left"/>
              <w:rPr>
                <w:rFonts w:cstheme="majorHAnsi"/>
                <w:color w:val="000000"/>
              </w:rPr>
            </w:pPr>
            <w:r w:rsidRPr="006472AF">
              <w:rPr>
                <w:rFonts w:cstheme="majorHAnsi"/>
                <w:color w:val="000000"/>
              </w:rPr>
              <w:t>Urban heat regulating</w:t>
            </w:r>
          </w:p>
        </w:tc>
        <w:tc>
          <w:tcPr>
            <w:tcW w:w="1901" w:type="dxa"/>
            <w:tcBorders>
              <w:top w:val="nil"/>
              <w:left w:val="nil"/>
              <w:bottom w:val="single" w:sz="4" w:space="0" w:color="auto"/>
              <w:right w:val="single" w:sz="4" w:space="0" w:color="auto"/>
            </w:tcBorders>
            <w:noWrap/>
            <w:vAlign w:val="center"/>
          </w:tcPr>
          <w:p w14:paraId="319773EC" w14:textId="77777777" w:rsidR="00E57E3E" w:rsidRPr="006472AF" w:rsidRDefault="00E57E3E" w:rsidP="00C14756">
            <w:pPr>
              <w:spacing w:after="0"/>
              <w:jc w:val="right"/>
              <w:rPr>
                <w:rFonts w:cstheme="majorHAnsi"/>
              </w:rPr>
            </w:pPr>
            <w:r w:rsidRPr="006472AF">
              <w:rPr>
                <w:rFonts w:cstheme="majorHAnsi"/>
              </w:rPr>
              <w:t>£695.03m</w:t>
            </w:r>
          </w:p>
        </w:tc>
        <w:tc>
          <w:tcPr>
            <w:tcW w:w="1903" w:type="dxa"/>
            <w:gridSpan w:val="2"/>
            <w:tcBorders>
              <w:top w:val="nil"/>
              <w:left w:val="nil"/>
              <w:bottom w:val="single" w:sz="4" w:space="0" w:color="auto"/>
              <w:right w:val="single" w:sz="4" w:space="0" w:color="auto"/>
            </w:tcBorders>
            <w:noWrap/>
            <w:vAlign w:val="center"/>
          </w:tcPr>
          <w:p w14:paraId="1A46F150" w14:textId="77777777" w:rsidR="00E57E3E" w:rsidRPr="006472AF" w:rsidRDefault="00E57E3E" w:rsidP="00C14756">
            <w:pPr>
              <w:spacing w:after="0"/>
              <w:jc w:val="right"/>
              <w:rPr>
                <w:rFonts w:cstheme="majorHAnsi"/>
              </w:rPr>
            </w:pPr>
            <w:r w:rsidRPr="006472AF">
              <w:rPr>
                <w:rFonts w:cstheme="majorHAnsi"/>
              </w:rPr>
              <w:t>£68.97m</w:t>
            </w:r>
          </w:p>
        </w:tc>
        <w:tc>
          <w:tcPr>
            <w:tcW w:w="1901" w:type="dxa"/>
            <w:tcBorders>
              <w:top w:val="nil"/>
              <w:left w:val="nil"/>
              <w:bottom w:val="single" w:sz="4" w:space="0" w:color="auto"/>
              <w:right w:val="single" w:sz="4" w:space="0" w:color="auto"/>
            </w:tcBorders>
            <w:vAlign w:val="center"/>
          </w:tcPr>
          <w:p w14:paraId="2EA455F7" w14:textId="77777777" w:rsidR="00E57E3E" w:rsidRPr="006472AF" w:rsidRDefault="00E57E3E" w:rsidP="00C14756">
            <w:pPr>
              <w:spacing w:after="0"/>
              <w:jc w:val="right"/>
              <w:rPr>
                <w:rFonts w:cstheme="majorHAnsi"/>
              </w:rPr>
            </w:pPr>
            <w:r w:rsidRPr="006472AF">
              <w:rPr>
                <w:rFonts w:cstheme="majorHAnsi"/>
              </w:rPr>
              <w:t>£0.00m</w:t>
            </w:r>
          </w:p>
        </w:tc>
        <w:tc>
          <w:tcPr>
            <w:tcW w:w="1901" w:type="dxa"/>
            <w:tcBorders>
              <w:top w:val="single" w:sz="4" w:space="0" w:color="auto"/>
              <w:left w:val="single" w:sz="4" w:space="0" w:color="auto"/>
              <w:bottom w:val="single" w:sz="4" w:space="0" w:color="auto"/>
              <w:right w:val="single" w:sz="4" w:space="0" w:color="auto"/>
            </w:tcBorders>
            <w:noWrap/>
            <w:vAlign w:val="center"/>
          </w:tcPr>
          <w:p w14:paraId="7182BEA4" w14:textId="77777777" w:rsidR="00E57E3E" w:rsidRPr="006472AF" w:rsidRDefault="00E57E3E" w:rsidP="00C14756">
            <w:pPr>
              <w:spacing w:after="0"/>
              <w:jc w:val="right"/>
              <w:rPr>
                <w:rFonts w:cstheme="majorHAnsi"/>
              </w:rPr>
            </w:pPr>
            <w:r w:rsidRPr="006472AF">
              <w:rPr>
                <w:rFonts w:cstheme="majorHAnsi"/>
              </w:rPr>
              <w:t>£147.85m</w:t>
            </w:r>
          </w:p>
        </w:tc>
        <w:tc>
          <w:tcPr>
            <w:tcW w:w="1902" w:type="dxa"/>
            <w:gridSpan w:val="2"/>
            <w:tcBorders>
              <w:top w:val="nil"/>
              <w:left w:val="nil"/>
              <w:bottom w:val="single" w:sz="4" w:space="0" w:color="auto"/>
              <w:right w:val="single" w:sz="4" w:space="0" w:color="auto"/>
            </w:tcBorders>
            <w:noWrap/>
            <w:vAlign w:val="center"/>
          </w:tcPr>
          <w:p w14:paraId="3FD89895" w14:textId="77777777" w:rsidR="00E57E3E" w:rsidRPr="006472AF" w:rsidRDefault="00E57E3E" w:rsidP="00C14756">
            <w:pPr>
              <w:spacing w:after="0"/>
              <w:jc w:val="right"/>
              <w:rPr>
                <w:rFonts w:cstheme="majorHAnsi"/>
              </w:rPr>
            </w:pPr>
            <w:r w:rsidRPr="006472AF">
              <w:rPr>
                <w:rFonts w:cstheme="majorHAnsi"/>
              </w:rPr>
              <w:t>£155.38m</w:t>
            </w:r>
          </w:p>
        </w:tc>
        <w:tc>
          <w:tcPr>
            <w:tcW w:w="1977" w:type="dxa"/>
            <w:gridSpan w:val="2"/>
            <w:tcBorders>
              <w:top w:val="single" w:sz="4" w:space="0" w:color="auto"/>
              <w:left w:val="nil"/>
              <w:bottom w:val="single" w:sz="4" w:space="0" w:color="auto"/>
              <w:right w:val="single" w:sz="4" w:space="0" w:color="auto"/>
            </w:tcBorders>
            <w:noWrap/>
            <w:vAlign w:val="center"/>
          </w:tcPr>
          <w:p w14:paraId="73626178" w14:textId="77777777" w:rsidR="00E57E3E" w:rsidRPr="006472AF" w:rsidRDefault="00E57E3E" w:rsidP="00C14756">
            <w:pPr>
              <w:spacing w:after="0"/>
              <w:jc w:val="right"/>
              <w:rPr>
                <w:rFonts w:cstheme="majorHAnsi"/>
              </w:rPr>
            </w:pPr>
            <w:r w:rsidRPr="006472AF">
              <w:rPr>
                <w:rFonts w:cstheme="majorHAnsi"/>
              </w:rPr>
              <w:t>£9.83m</w:t>
            </w:r>
          </w:p>
        </w:tc>
      </w:tr>
      <w:tr w:rsidR="00E57E3E" w:rsidRPr="006472AF" w14:paraId="33F8CC18" w14:textId="77777777" w:rsidTr="00BC1992">
        <w:trPr>
          <w:trHeight w:val="340"/>
        </w:trPr>
        <w:tc>
          <w:tcPr>
            <w:tcW w:w="3330" w:type="dxa"/>
            <w:tcBorders>
              <w:top w:val="single" w:sz="4" w:space="0" w:color="auto"/>
              <w:left w:val="single" w:sz="4" w:space="0" w:color="auto"/>
              <w:bottom w:val="single" w:sz="4" w:space="0" w:color="auto"/>
              <w:right w:val="nil"/>
            </w:tcBorders>
            <w:shd w:val="clear" w:color="auto" w:fill="165BAA" w:themeFill="text2"/>
            <w:noWrap/>
            <w:hideMark/>
          </w:tcPr>
          <w:p w14:paraId="26E5E34E" w14:textId="77777777" w:rsidR="00E57E3E" w:rsidRPr="00BC1992" w:rsidRDefault="00E57E3E" w:rsidP="006531F0">
            <w:pPr>
              <w:spacing w:after="0"/>
              <w:jc w:val="left"/>
              <w:rPr>
                <w:rFonts w:asciiTheme="majorHAnsi" w:hAnsiTheme="majorHAnsi" w:cstheme="majorHAnsi"/>
                <w:color w:val="FFFFFF" w:themeColor="background1"/>
              </w:rPr>
            </w:pPr>
            <w:r w:rsidRPr="00BC1992">
              <w:rPr>
                <w:rFonts w:asciiTheme="majorHAnsi" w:hAnsiTheme="majorHAnsi" w:cstheme="majorHAnsi"/>
                <w:color w:val="FFFFFF" w:themeColor="background1"/>
              </w:rPr>
              <w:t>Cultural services</w:t>
            </w:r>
          </w:p>
        </w:tc>
        <w:tc>
          <w:tcPr>
            <w:tcW w:w="1901" w:type="dxa"/>
            <w:tcBorders>
              <w:top w:val="nil"/>
              <w:left w:val="nil"/>
              <w:bottom w:val="single" w:sz="4" w:space="0" w:color="auto"/>
              <w:right w:val="nil"/>
            </w:tcBorders>
            <w:shd w:val="clear" w:color="auto" w:fill="165BAA" w:themeFill="text2"/>
            <w:noWrap/>
            <w:vAlign w:val="center"/>
          </w:tcPr>
          <w:p w14:paraId="5C4DED05" w14:textId="77777777" w:rsidR="00E57E3E" w:rsidRPr="00BC1992" w:rsidRDefault="00E57E3E" w:rsidP="00C14756">
            <w:pPr>
              <w:spacing w:after="0"/>
              <w:jc w:val="right"/>
              <w:rPr>
                <w:rFonts w:asciiTheme="majorHAnsi" w:hAnsiTheme="majorHAnsi" w:cstheme="majorHAnsi"/>
                <w:color w:val="FFFFFF" w:themeColor="background1"/>
              </w:rPr>
            </w:pPr>
          </w:p>
        </w:tc>
        <w:tc>
          <w:tcPr>
            <w:tcW w:w="1903" w:type="dxa"/>
            <w:gridSpan w:val="2"/>
            <w:tcBorders>
              <w:top w:val="nil"/>
              <w:left w:val="nil"/>
              <w:bottom w:val="single" w:sz="4" w:space="0" w:color="auto"/>
              <w:right w:val="nil"/>
            </w:tcBorders>
            <w:shd w:val="clear" w:color="auto" w:fill="165BAA" w:themeFill="text2"/>
            <w:noWrap/>
            <w:vAlign w:val="center"/>
          </w:tcPr>
          <w:p w14:paraId="348AAFCF"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nil"/>
              <w:left w:val="nil"/>
              <w:bottom w:val="single" w:sz="4" w:space="0" w:color="auto"/>
              <w:right w:val="nil"/>
            </w:tcBorders>
            <w:shd w:val="clear" w:color="auto" w:fill="165BAA" w:themeFill="text2"/>
            <w:vAlign w:val="center"/>
          </w:tcPr>
          <w:p w14:paraId="47876D9E"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nil"/>
              <w:left w:val="nil"/>
              <w:bottom w:val="single" w:sz="4" w:space="0" w:color="auto"/>
              <w:right w:val="nil"/>
            </w:tcBorders>
            <w:shd w:val="clear" w:color="auto" w:fill="165BAA" w:themeFill="text2"/>
            <w:noWrap/>
            <w:vAlign w:val="center"/>
          </w:tcPr>
          <w:p w14:paraId="318522F0" w14:textId="77777777" w:rsidR="00E57E3E" w:rsidRPr="00BC1992" w:rsidRDefault="00E57E3E" w:rsidP="00C14756">
            <w:pPr>
              <w:spacing w:after="0"/>
              <w:jc w:val="right"/>
              <w:rPr>
                <w:rFonts w:asciiTheme="majorHAnsi" w:hAnsiTheme="majorHAnsi" w:cstheme="majorHAnsi"/>
                <w:color w:val="FFFFFF" w:themeColor="background1"/>
              </w:rPr>
            </w:pPr>
          </w:p>
        </w:tc>
        <w:tc>
          <w:tcPr>
            <w:tcW w:w="1902" w:type="dxa"/>
            <w:gridSpan w:val="2"/>
            <w:tcBorders>
              <w:top w:val="nil"/>
              <w:left w:val="nil"/>
              <w:bottom w:val="single" w:sz="4" w:space="0" w:color="auto"/>
              <w:right w:val="nil"/>
            </w:tcBorders>
            <w:shd w:val="clear" w:color="auto" w:fill="165BAA" w:themeFill="text2"/>
            <w:noWrap/>
            <w:vAlign w:val="center"/>
          </w:tcPr>
          <w:p w14:paraId="5B9A112D" w14:textId="77777777" w:rsidR="00E57E3E" w:rsidRPr="00BC1992" w:rsidRDefault="00E57E3E" w:rsidP="00C14756">
            <w:pPr>
              <w:spacing w:after="0"/>
              <w:jc w:val="right"/>
              <w:rPr>
                <w:rFonts w:asciiTheme="majorHAnsi" w:hAnsiTheme="majorHAnsi" w:cstheme="majorHAnsi"/>
                <w:color w:val="FFFFFF" w:themeColor="background1"/>
              </w:rPr>
            </w:pPr>
          </w:p>
        </w:tc>
        <w:tc>
          <w:tcPr>
            <w:tcW w:w="1977" w:type="dxa"/>
            <w:gridSpan w:val="2"/>
            <w:tcBorders>
              <w:top w:val="single" w:sz="4" w:space="0" w:color="auto"/>
              <w:left w:val="nil"/>
              <w:bottom w:val="single" w:sz="4" w:space="0" w:color="auto"/>
              <w:right w:val="single" w:sz="4" w:space="0" w:color="auto"/>
            </w:tcBorders>
            <w:shd w:val="clear" w:color="auto" w:fill="165BAA" w:themeFill="text2"/>
            <w:noWrap/>
            <w:vAlign w:val="center"/>
          </w:tcPr>
          <w:p w14:paraId="4091C9D5" w14:textId="77777777" w:rsidR="00E57E3E" w:rsidRPr="00BC1992" w:rsidRDefault="00E57E3E" w:rsidP="00C14756">
            <w:pPr>
              <w:spacing w:after="0"/>
              <w:jc w:val="right"/>
              <w:rPr>
                <w:rFonts w:asciiTheme="majorHAnsi" w:hAnsiTheme="majorHAnsi" w:cstheme="majorHAnsi"/>
                <w:color w:val="FFFFFF" w:themeColor="background1"/>
              </w:rPr>
            </w:pPr>
          </w:p>
        </w:tc>
      </w:tr>
      <w:tr w:rsidR="00E57E3E" w:rsidRPr="006472AF" w14:paraId="6CF4EC59" w14:textId="77777777" w:rsidTr="00BC1992">
        <w:trPr>
          <w:trHeight w:val="510"/>
        </w:trPr>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A74C8" w14:textId="72D77136" w:rsidR="00E57E3E" w:rsidRPr="006472AF" w:rsidRDefault="00E57E3E" w:rsidP="006531F0">
            <w:pPr>
              <w:spacing w:after="0"/>
              <w:jc w:val="left"/>
              <w:rPr>
                <w:rFonts w:cstheme="majorHAnsi"/>
                <w:color w:val="000000"/>
              </w:rPr>
            </w:pPr>
            <w:r w:rsidRPr="006472AF">
              <w:rPr>
                <w:rFonts w:cstheme="majorHAnsi"/>
                <w:color w:val="000000"/>
              </w:rPr>
              <w:t>Recreation (enjoyment benefits)</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0E1F021D" w14:textId="77777777" w:rsidR="00E57E3E" w:rsidRPr="006472AF" w:rsidRDefault="00E57E3E" w:rsidP="00C14756">
            <w:pPr>
              <w:spacing w:after="0"/>
              <w:jc w:val="right"/>
              <w:rPr>
                <w:rFonts w:cstheme="majorHAnsi"/>
              </w:rPr>
            </w:pPr>
            <w:r w:rsidRPr="006472AF">
              <w:rPr>
                <w:rFonts w:cstheme="majorHAnsi"/>
              </w:rPr>
              <w:t>£10,537.59m</w:t>
            </w:r>
          </w:p>
        </w:tc>
        <w:tc>
          <w:tcPr>
            <w:tcW w:w="1903" w:type="dxa"/>
            <w:gridSpan w:val="2"/>
            <w:tcBorders>
              <w:top w:val="nil"/>
              <w:left w:val="nil"/>
              <w:bottom w:val="single" w:sz="4" w:space="0" w:color="auto"/>
              <w:right w:val="single" w:sz="4" w:space="0" w:color="auto"/>
            </w:tcBorders>
            <w:shd w:val="clear" w:color="auto" w:fill="FFFFFF" w:themeFill="background1"/>
            <w:noWrap/>
            <w:vAlign w:val="center"/>
          </w:tcPr>
          <w:p w14:paraId="56A0C3C3" w14:textId="77777777" w:rsidR="00E57E3E" w:rsidRPr="006472AF" w:rsidRDefault="00E57E3E" w:rsidP="00C14756">
            <w:pPr>
              <w:spacing w:after="0"/>
              <w:jc w:val="right"/>
              <w:rPr>
                <w:rFonts w:cstheme="majorHAnsi"/>
              </w:rPr>
            </w:pPr>
            <w:r w:rsidRPr="006472AF">
              <w:rPr>
                <w:rFonts w:cstheme="majorHAnsi"/>
              </w:rPr>
              <w:t>£5,992.93m</w:t>
            </w:r>
          </w:p>
        </w:tc>
        <w:tc>
          <w:tcPr>
            <w:tcW w:w="1901" w:type="dxa"/>
            <w:tcBorders>
              <w:top w:val="nil"/>
              <w:left w:val="nil"/>
              <w:bottom w:val="single" w:sz="4" w:space="0" w:color="auto"/>
              <w:right w:val="single" w:sz="4" w:space="0" w:color="auto"/>
            </w:tcBorders>
            <w:shd w:val="clear" w:color="auto" w:fill="FFFFFF" w:themeFill="background1"/>
            <w:vAlign w:val="center"/>
          </w:tcPr>
          <w:p w14:paraId="7082F6A4" w14:textId="77777777" w:rsidR="00E57E3E" w:rsidRPr="006472AF" w:rsidRDefault="00E57E3E" w:rsidP="00C14756">
            <w:pPr>
              <w:spacing w:after="0"/>
              <w:jc w:val="right"/>
              <w:rPr>
                <w:rFonts w:cstheme="majorHAnsi"/>
              </w:rPr>
            </w:pPr>
            <w:r w:rsidRPr="006472AF">
              <w:rPr>
                <w:rFonts w:cstheme="majorHAnsi"/>
              </w:rPr>
              <w:t>£8,122.08m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3CD382" w14:textId="77777777" w:rsidR="00E57E3E" w:rsidRPr="006472AF" w:rsidRDefault="00E57E3E" w:rsidP="00C14756">
            <w:pPr>
              <w:spacing w:after="0"/>
              <w:jc w:val="right"/>
              <w:rPr>
                <w:rFonts w:cstheme="majorHAnsi"/>
              </w:rPr>
            </w:pPr>
            <w:r w:rsidRPr="006472AF">
              <w:rPr>
                <w:rFonts w:cstheme="majorHAnsi"/>
              </w:rPr>
              <w:t>£8,354.54m</w:t>
            </w:r>
          </w:p>
        </w:tc>
        <w:tc>
          <w:tcPr>
            <w:tcW w:w="1902" w:type="dxa"/>
            <w:gridSpan w:val="2"/>
            <w:tcBorders>
              <w:top w:val="nil"/>
              <w:left w:val="nil"/>
              <w:bottom w:val="single" w:sz="4" w:space="0" w:color="auto"/>
              <w:right w:val="single" w:sz="4" w:space="0" w:color="auto"/>
            </w:tcBorders>
            <w:shd w:val="clear" w:color="auto" w:fill="FFFFFF" w:themeFill="background1"/>
            <w:noWrap/>
            <w:vAlign w:val="center"/>
          </w:tcPr>
          <w:p w14:paraId="178B0BA7" w14:textId="77777777" w:rsidR="00E57E3E" w:rsidRPr="006472AF" w:rsidRDefault="00E57E3E" w:rsidP="00C14756">
            <w:pPr>
              <w:spacing w:after="0"/>
              <w:jc w:val="right"/>
              <w:rPr>
                <w:rFonts w:cstheme="majorHAnsi"/>
              </w:rPr>
            </w:pPr>
            <w:r w:rsidRPr="006472AF">
              <w:rPr>
                <w:rFonts w:cstheme="majorHAnsi"/>
              </w:rPr>
              <w:t>£9,006.00m</w:t>
            </w:r>
          </w:p>
        </w:tc>
        <w:tc>
          <w:tcPr>
            <w:tcW w:w="1977" w:type="dxa"/>
            <w:gridSpan w:val="2"/>
            <w:tcBorders>
              <w:top w:val="nil"/>
              <w:left w:val="nil"/>
              <w:bottom w:val="single" w:sz="4" w:space="0" w:color="auto"/>
              <w:right w:val="single" w:sz="4" w:space="0" w:color="auto"/>
            </w:tcBorders>
            <w:shd w:val="clear" w:color="auto" w:fill="FFFFFF" w:themeFill="background1"/>
            <w:noWrap/>
            <w:vAlign w:val="center"/>
          </w:tcPr>
          <w:p w14:paraId="4C4ACF06" w14:textId="77777777" w:rsidR="00E57E3E" w:rsidRPr="006472AF" w:rsidRDefault="00E57E3E" w:rsidP="00C14756">
            <w:pPr>
              <w:spacing w:after="0"/>
              <w:jc w:val="right"/>
              <w:rPr>
                <w:rFonts w:cstheme="majorHAnsi"/>
              </w:rPr>
            </w:pPr>
            <w:r w:rsidRPr="006472AF">
              <w:rPr>
                <w:rFonts w:cstheme="majorHAnsi"/>
              </w:rPr>
              <w:t>£2,731.57m</w:t>
            </w:r>
          </w:p>
        </w:tc>
      </w:tr>
    </w:tbl>
    <w:tbl>
      <w:tblPr>
        <w:tblW w:w="0" w:type="auto"/>
        <w:tblLook w:val="04A0" w:firstRow="1" w:lastRow="0" w:firstColumn="1" w:lastColumn="0" w:noHBand="0" w:noVBand="1"/>
      </w:tblPr>
      <w:tblGrid>
        <w:gridCol w:w="3330"/>
        <w:gridCol w:w="1901"/>
        <w:gridCol w:w="1903"/>
        <w:gridCol w:w="1901"/>
        <w:gridCol w:w="1901"/>
        <w:gridCol w:w="1902"/>
        <w:gridCol w:w="1977"/>
      </w:tblGrid>
      <w:tr w:rsidR="00267D1F" w14:paraId="663B9188" w14:textId="77777777" w:rsidTr="00267D1F">
        <w:trPr>
          <w:trHeight w:val="510"/>
        </w:trPr>
        <w:tc>
          <w:tcPr>
            <w:tcW w:w="3330" w:type="dxa"/>
            <w:tcBorders>
              <w:top w:val="nil"/>
              <w:left w:val="single" w:sz="8" w:space="0" w:color="auto"/>
              <w:bottom w:val="single" w:sz="8" w:space="0" w:color="auto"/>
              <w:right w:val="single" w:sz="8" w:space="0" w:color="auto"/>
            </w:tcBorders>
            <w:shd w:val="clear" w:color="auto" w:fill="FFFFFF"/>
            <w:vAlign w:val="center"/>
            <w:hideMark/>
          </w:tcPr>
          <w:p w14:paraId="1F9DADA3" w14:textId="77777777" w:rsidR="00267D1F" w:rsidRDefault="00267D1F">
            <w:pPr>
              <w:spacing w:after="0"/>
              <w:jc w:val="left"/>
              <w:rPr>
                <w:kern w:val="2"/>
                <w14:ligatures w14:val="standardContextual"/>
              </w:rPr>
            </w:pPr>
            <w:r>
              <w:rPr>
                <w:color w:val="000000"/>
              </w:rPr>
              <w:t>Recreation (health cost savings)</w:t>
            </w:r>
          </w:p>
        </w:tc>
        <w:tc>
          <w:tcPr>
            <w:tcW w:w="1901" w:type="dxa"/>
            <w:tcBorders>
              <w:top w:val="nil"/>
              <w:left w:val="nil"/>
              <w:bottom w:val="single" w:sz="8" w:space="0" w:color="auto"/>
              <w:right w:val="single" w:sz="8" w:space="0" w:color="auto"/>
            </w:tcBorders>
            <w:shd w:val="clear" w:color="auto" w:fill="FFFFFF"/>
            <w:vAlign w:val="center"/>
            <w:hideMark/>
          </w:tcPr>
          <w:p w14:paraId="7F1B187C" w14:textId="77777777" w:rsidR="00267D1F" w:rsidRDefault="00267D1F">
            <w:pPr>
              <w:spacing w:after="0"/>
              <w:jc w:val="right"/>
            </w:pPr>
            <w:r>
              <w:rPr>
                <w:color w:val="000000"/>
              </w:rPr>
              <w:t>£8,309.06m</w:t>
            </w:r>
          </w:p>
        </w:tc>
        <w:tc>
          <w:tcPr>
            <w:tcW w:w="1903" w:type="dxa"/>
            <w:tcBorders>
              <w:top w:val="nil"/>
              <w:left w:val="nil"/>
              <w:bottom w:val="single" w:sz="8" w:space="0" w:color="auto"/>
              <w:right w:val="single" w:sz="8" w:space="0" w:color="auto"/>
            </w:tcBorders>
            <w:shd w:val="clear" w:color="auto" w:fill="FFFFFF"/>
            <w:vAlign w:val="center"/>
            <w:hideMark/>
          </w:tcPr>
          <w:p w14:paraId="4D8737D2" w14:textId="77777777" w:rsidR="00267D1F" w:rsidRDefault="00267D1F">
            <w:pPr>
              <w:spacing w:after="0"/>
              <w:jc w:val="right"/>
            </w:pPr>
            <w:r>
              <w:rPr>
                <w:color w:val="000000"/>
              </w:rPr>
              <w:t>£4,919.19m</w:t>
            </w:r>
          </w:p>
        </w:tc>
        <w:tc>
          <w:tcPr>
            <w:tcW w:w="1901" w:type="dxa"/>
            <w:tcBorders>
              <w:top w:val="nil"/>
              <w:left w:val="nil"/>
              <w:bottom w:val="single" w:sz="8" w:space="0" w:color="auto"/>
              <w:right w:val="single" w:sz="8" w:space="0" w:color="auto"/>
            </w:tcBorders>
            <w:shd w:val="clear" w:color="auto" w:fill="FFFFFF"/>
            <w:vAlign w:val="center"/>
            <w:hideMark/>
          </w:tcPr>
          <w:p w14:paraId="577546FC" w14:textId="77777777" w:rsidR="00267D1F" w:rsidRDefault="00267D1F">
            <w:pPr>
              <w:spacing w:after="0"/>
              <w:jc w:val="right"/>
            </w:pPr>
            <w:r>
              <w:rPr>
                <w:color w:val="000000"/>
              </w:rPr>
              <w:t>£6,084.89m</w:t>
            </w:r>
          </w:p>
        </w:tc>
        <w:tc>
          <w:tcPr>
            <w:tcW w:w="1901" w:type="dxa"/>
            <w:tcBorders>
              <w:top w:val="nil"/>
              <w:left w:val="nil"/>
              <w:bottom w:val="single" w:sz="8" w:space="0" w:color="auto"/>
              <w:right w:val="single" w:sz="8" w:space="0" w:color="auto"/>
            </w:tcBorders>
            <w:shd w:val="clear" w:color="auto" w:fill="FFFFFF"/>
            <w:vAlign w:val="center"/>
            <w:hideMark/>
          </w:tcPr>
          <w:p w14:paraId="49310744" w14:textId="77777777" w:rsidR="00267D1F" w:rsidRDefault="00267D1F">
            <w:pPr>
              <w:spacing w:after="0"/>
              <w:jc w:val="right"/>
            </w:pPr>
            <w:r>
              <w:rPr>
                <w:color w:val="000000"/>
              </w:rPr>
              <w:t>£7,041.05m</w:t>
            </w:r>
          </w:p>
        </w:tc>
        <w:tc>
          <w:tcPr>
            <w:tcW w:w="1902" w:type="dxa"/>
            <w:tcBorders>
              <w:top w:val="nil"/>
              <w:left w:val="nil"/>
              <w:bottom w:val="single" w:sz="8" w:space="0" w:color="auto"/>
              <w:right w:val="single" w:sz="8" w:space="0" w:color="auto"/>
            </w:tcBorders>
            <w:shd w:val="clear" w:color="auto" w:fill="FFFFFF"/>
            <w:vAlign w:val="center"/>
            <w:hideMark/>
          </w:tcPr>
          <w:p w14:paraId="78F08DBF" w14:textId="77777777" w:rsidR="00267D1F" w:rsidRDefault="00267D1F">
            <w:pPr>
              <w:spacing w:after="0"/>
              <w:jc w:val="right"/>
            </w:pPr>
            <w:r>
              <w:rPr>
                <w:color w:val="000000"/>
              </w:rPr>
              <w:t>£6,959.08m</w:t>
            </w:r>
          </w:p>
        </w:tc>
        <w:tc>
          <w:tcPr>
            <w:tcW w:w="1977" w:type="dxa"/>
            <w:tcBorders>
              <w:top w:val="nil"/>
              <w:left w:val="nil"/>
              <w:bottom w:val="single" w:sz="8" w:space="0" w:color="auto"/>
              <w:right w:val="single" w:sz="8" w:space="0" w:color="auto"/>
            </w:tcBorders>
            <w:shd w:val="clear" w:color="auto" w:fill="FFFFFF"/>
            <w:vAlign w:val="center"/>
            <w:hideMark/>
          </w:tcPr>
          <w:p w14:paraId="3F7AD49E" w14:textId="77777777" w:rsidR="00267D1F" w:rsidRDefault="00267D1F">
            <w:pPr>
              <w:spacing w:after="0"/>
              <w:jc w:val="right"/>
            </w:pPr>
            <w:r>
              <w:rPr>
                <w:color w:val="000000"/>
              </w:rPr>
              <w:t>£2,474.62m</w:t>
            </w:r>
          </w:p>
        </w:tc>
      </w:tr>
    </w:tbl>
    <w:tbl>
      <w:tblPr>
        <w:tblW w:w="4989" w:type="pct"/>
        <w:tblLayout w:type="fixed"/>
        <w:tblLook w:val="04A0" w:firstRow="1" w:lastRow="0" w:firstColumn="1" w:lastColumn="0" w:noHBand="0" w:noVBand="1"/>
      </w:tblPr>
      <w:tblGrid>
        <w:gridCol w:w="3330"/>
        <w:gridCol w:w="1901"/>
        <w:gridCol w:w="1902"/>
        <w:gridCol w:w="1900"/>
        <w:gridCol w:w="1900"/>
        <w:gridCol w:w="1901"/>
        <w:gridCol w:w="1976"/>
      </w:tblGrid>
      <w:tr w:rsidR="00E57E3E" w:rsidRPr="006472AF" w14:paraId="7A46DF32" w14:textId="77777777" w:rsidTr="00BC1992">
        <w:trPr>
          <w:trHeight w:val="510"/>
        </w:trPr>
        <w:tc>
          <w:tcPr>
            <w:tcW w:w="3330" w:type="dxa"/>
            <w:tcBorders>
              <w:top w:val="nil"/>
              <w:left w:val="single" w:sz="4" w:space="0" w:color="auto"/>
              <w:bottom w:val="single" w:sz="4" w:space="0" w:color="auto"/>
              <w:right w:val="single" w:sz="4" w:space="0" w:color="auto"/>
            </w:tcBorders>
            <w:shd w:val="clear" w:color="auto" w:fill="FFFFFF" w:themeFill="background1"/>
            <w:vAlign w:val="center"/>
          </w:tcPr>
          <w:p w14:paraId="77A08CBA" w14:textId="77777777" w:rsidR="00E57E3E" w:rsidRPr="006472AF" w:rsidRDefault="00E57E3E" w:rsidP="006531F0">
            <w:pPr>
              <w:spacing w:after="0"/>
              <w:jc w:val="left"/>
              <w:rPr>
                <w:rFonts w:cstheme="majorHAnsi"/>
                <w:color w:val="000000"/>
              </w:rPr>
            </w:pPr>
            <w:r w:rsidRPr="006472AF">
              <w:rPr>
                <w:rFonts w:cstheme="majorHAnsi"/>
                <w:color w:val="000000"/>
              </w:rPr>
              <w:t>Tourism</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6543AB23" w14:textId="77777777" w:rsidR="00E57E3E" w:rsidRPr="006472AF" w:rsidRDefault="00E57E3E" w:rsidP="00C14756">
            <w:pPr>
              <w:spacing w:after="0"/>
              <w:jc w:val="right"/>
              <w:rPr>
                <w:rFonts w:cstheme="majorHAnsi"/>
              </w:rPr>
            </w:pPr>
            <w:r w:rsidRPr="006472AF">
              <w:rPr>
                <w:rFonts w:cstheme="majorHAnsi"/>
              </w:rPr>
              <w:t>£2,440.08m</w:t>
            </w:r>
          </w:p>
        </w:tc>
        <w:tc>
          <w:tcPr>
            <w:tcW w:w="1903" w:type="dxa"/>
            <w:tcBorders>
              <w:top w:val="nil"/>
              <w:left w:val="nil"/>
              <w:bottom w:val="single" w:sz="4" w:space="0" w:color="auto"/>
              <w:right w:val="single" w:sz="4" w:space="0" w:color="auto"/>
            </w:tcBorders>
            <w:shd w:val="clear" w:color="auto" w:fill="FFFFFF" w:themeFill="background1"/>
            <w:noWrap/>
            <w:vAlign w:val="center"/>
          </w:tcPr>
          <w:p w14:paraId="70094962" w14:textId="77777777" w:rsidR="00E57E3E" w:rsidRPr="006472AF" w:rsidRDefault="00E57E3E" w:rsidP="00C14756">
            <w:pPr>
              <w:spacing w:after="0"/>
              <w:jc w:val="right"/>
              <w:rPr>
                <w:rFonts w:cstheme="majorHAnsi"/>
              </w:rPr>
            </w:pPr>
            <w:r w:rsidRPr="006472AF">
              <w:rPr>
                <w:rFonts w:cstheme="majorHAnsi"/>
              </w:rPr>
              <w:t>£1,103.61m</w:t>
            </w:r>
          </w:p>
        </w:tc>
        <w:tc>
          <w:tcPr>
            <w:tcW w:w="1901" w:type="dxa"/>
            <w:tcBorders>
              <w:top w:val="nil"/>
              <w:left w:val="nil"/>
              <w:bottom w:val="single" w:sz="4" w:space="0" w:color="auto"/>
              <w:right w:val="single" w:sz="4" w:space="0" w:color="auto"/>
            </w:tcBorders>
            <w:shd w:val="clear" w:color="auto" w:fill="FFFFFF" w:themeFill="background1"/>
            <w:vAlign w:val="center"/>
          </w:tcPr>
          <w:p w14:paraId="2F51357B" w14:textId="77777777" w:rsidR="00E57E3E" w:rsidRPr="006472AF" w:rsidRDefault="00E57E3E" w:rsidP="00C14756">
            <w:pPr>
              <w:spacing w:after="0"/>
              <w:jc w:val="right"/>
              <w:rPr>
                <w:rFonts w:cstheme="majorHAnsi"/>
              </w:rPr>
            </w:pPr>
            <w:r w:rsidRPr="006472AF">
              <w:rPr>
                <w:rFonts w:cstheme="majorHAnsi"/>
              </w:rPr>
              <w:t>£1,306.10m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7D7358" w14:textId="77777777" w:rsidR="00E57E3E" w:rsidRPr="006472AF" w:rsidRDefault="00E57E3E" w:rsidP="00C14756">
            <w:pPr>
              <w:spacing w:after="0"/>
              <w:jc w:val="right"/>
              <w:rPr>
                <w:rFonts w:cstheme="majorHAnsi"/>
              </w:rPr>
            </w:pPr>
            <w:r w:rsidRPr="006472AF">
              <w:rPr>
                <w:rFonts w:cstheme="majorHAnsi"/>
              </w:rPr>
              <w:t>£1,427.60m</w:t>
            </w:r>
          </w:p>
        </w:tc>
        <w:tc>
          <w:tcPr>
            <w:tcW w:w="1902" w:type="dxa"/>
            <w:tcBorders>
              <w:top w:val="nil"/>
              <w:left w:val="nil"/>
              <w:bottom w:val="single" w:sz="4" w:space="0" w:color="auto"/>
              <w:right w:val="single" w:sz="4" w:space="0" w:color="auto"/>
            </w:tcBorders>
            <w:shd w:val="clear" w:color="auto" w:fill="FFFFFF" w:themeFill="background1"/>
            <w:noWrap/>
            <w:vAlign w:val="center"/>
          </w:tcPr>
          <w:p w14:paraId="3CBED1A2" w14:textId="77777777" w:rsidR="00E57E3E" w:rsidRPr="006472AF" w:rsidRDefault="00E57E3E" w:rsidP="00C14756">
            <w:pPr>
              <w:spacing w:after="0"/>
              <w:jc w:val="right"/>
              <w:rPr>
                <w:rFonts w:cstheme="majorHAnsi"/>
              </w:rPr>
            </w:pPr>
            <w:r w:rsidRPr="006472AF">
              <w:rPr>
                <w:rFonts w:cstheme="majorHAnsi"/>
              </w:rPr>
              <w:t>£1,437.72m</w:t>
            </w:r>
          </w:p>
        </w:tc>
        <w:tc>
          <w:tcPr>
            <w:tcW w:w="1977" w:type="dxa"/>
            <w:tcBorders>
              <w:top w:val="nil"/>
              <w:left w:val="nil"/>
              <w:bottom w:val="single" w:sz="4" w:space="0" w:color="auto"/>
              <w:right w:val="single" w:sz="4" w:space="0" w:color="auto"/>
            </w:tcBorders>
            <w:shd w:val="clear" w:color="auto" w:fill="FFFFFF" w:themeFill="background1"/>
            <w:noWrap/>
            <w:vAlign w:val="center"/>
          </w:tcPr>
          <w:p w14:paraId="7F7D0572" w14:textId="77777777" w:rsidR="00E57E3E" w:rsidRPr="006472AF" w:rsidRDefault="00E57E3E" w:rsidP="00C14756">
            <w:pPr>
              <w:spacing w:after="0"/>
              <w:jc w:val="right"/>
              <w:rPr>
                <w:rFonts w:cstheme="majorHAnsi"/>
              </w:rPr>
            </w:pPr>
            <w:r w:rsidRPr="006472AF">
              <w:rPr>
                <w:rFonts w:cstheme="majorHAnsi"/>
              </w:rPr>
              <w:t>£445.49m</w:t>
            </w:r>
          </w:p>
        </w:tc>
      </w:tr>
      <w:tr w:rsidR="00E57E3E" w:rsidRPr="006472AF" w14:paraId="054CFFF7" w14:textId="77777777" w:rsidTr="00BC1992">
        <w:trPr>
          <w:trHeight w:val="510"/>
        </w:trPr>
        <w:tc>
          <w:tcPr>
            <w:tcW w:w="3330" w:type="dxa"/>
            <w:tcBorders>
              <w:top w:val="nil"/>
              <w:left w:val="single" w:sz="4" w:space="0" w:color="auto"/>
              <w:bottom w:val="single" w:sz="4" w:space="0" w:color="auto"/>
              <w:right w:val="single" w:sz="4" w:space="0" w:color="auto"/>
            </w:tcBorders>
            <w:shd w:val="clear" w:color="auto" w:fill="FFFFFF" w:themeFill="background1"/>
            <w:vAlign w:val="center"/>
          </w:tcPr>
          <w:p w14:paraId="0BED79E1" w14:textId="29E080E3" w:rsidR="00E57E3E" w:rsidRPr="006472AF" w:rsidRDefault="00E57E3E" w:rsidP="006531F0">
            <w:pPr>
              <w:spacing w:after="0"/>
              <w:jc w:val="left"/>
              <w:rPr>
                <w:rFonts w:cstheme="majorHAnsi"/>
                <w:color w:val="000000"/>
              </w:rPr>
            </w:pPr>
            <w:r w:rsidRPr="006472AF">
              <w:rPr>
                <w:rFonts w:cstheme="majorHAnsi"/>
                <w:color w:val="000000"/>
              </w:rPr>
              <w:t>Aesthetic and recreation (house prices)</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306951D4" w14:textId="77777777" w:rsidR="00E57E3E" w:rsidRPr="006472AF" w:rsidRDefault="00E57E3E" w:rsidP="00C14756">
            <w:pPr>
              <w:spacing w:after="0"/>
              <w:jc w:val="right"/>
              <w:rPr>
                <w:rFonts w:cstheme="majorHAnsi"/>
              </w:rPr>
            </w:pPr>
            <w:r w:rsidRPr="006472AF">
              <w:rPr>
                <w:rFonts w:cstheme="majorHAnsi"/>
              </w:rPr>
              <w:t>£1,153.69m</w:t>
            </w:r>
          </w:p>
        </w:tc>
        <w:tc>
          <w:tcPr>
            <w:tcW w:w="1903" w:type="dxa"/>
            <w:tcBorders>
              <w:top w:val="nil"/>
              <w:left w:val="nil"/>
              <w:bottom w:val="single" w:sz="4" w:space="0" w:color="auto"/>
              <w:right w:val="single" w:sz="4" w:space="0" w:color="auto"/>
            </w:tcBorders>
            <w:shd w:val="clear" w:color="auto" w:fill="FFFFFF" w:themeFill="background1"/>
            <w:noWrap/>
            <w:vAlign w:val="center"/>
          </w:tcPr>
          <w:p w14:paraId="5375087B" w14:textId="77777777" w:rsidR="00E57E3E" w:rsidRPr="006472AF" w:rsidRDefault="00E57E3E" w:rsidP="00C14756">
            <w:pPr>
              <w:spacing w:after="0"/>
              <w:jc w:val="right"/>
              <w:rPr>
                <w:rFonts w:cstheme="majorHAnsi"/>
              </w:rPr>
            </w:pPr>
            <w:r w:rsidRPr="006472AF">
              <w:rPr>
                <w:rFonts w:cstheme="majorHAnsi"/>
              </w:rPr>
              <w:t>£183.03m</w:t>
            </w:r>
          </w:p>
        </w:tc>
        <w:tc>
          <w:tcPr>
            <w:tcW w:w="1901" w:type="dxa"/>
            <w:tcBorders>
              <w:top w:val="nil"/>
              <w:left w:val="nil"/>
              <w:bottom w:val="single" w:sz="4" w:space="0" w:color="auto"/>
              <w:right w:val="single" w:sz="4" w:space="0" w:color="auto"/>
            </w:tcBorders>
            <w:shd w:val="clear" w:color="auto" w:fill="FFFFFF" w:themeFill="background1"/>
            <w:vAlign w:val="center"/>
          </w:tcPr>
          <w:p w14:paraId="4BD3480D" w14:textId="77777777" w:rsidR="00E57E3E" w:rsidRPr="006472AF" w:rsidRDefault="00E57E3E" w:rsidP="00C14756">
            <w:pPr>
              <w:spacing w:after="0"/>
              <w:jc w:val="right"/>
              <w:rPr>
                <w:rFonts w:cstheme="majorHAnsi"/>
              </w:rPr>
            </w:pPr>
            <w:r w:rsidRPr="006472AF">
              <w:rPr>
                <w:rFonts w:cstheme="majorHAnsi"/>
              </w:rPr>
              <w:t>£144.13m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7FEDBF" w14:textId="77777777" w:rsidR="00E57E3E" w:rsidRPr="006472AF" w:rsidRDefault="00E57E3E" w:rsidP="00C14756">
            <w:pPr>
              <w:spacing w:after="0"/>
              <w:jc w:val="right"/>
              <w:rPr>
                <w:rFonts w:cstheme="majorHAnsi"/>
              </w:rPr>
            </w:pPr>
            <w:r w:rsidRPr="006472AF">
              <w:rPr>
                <w:rFonts w:cstheme="majorHAnsi"/>
              </w:rPr>
              <w:t>£360.97m</w:t>
            </w:r>
          </w:p>
        </w:tc>
        <w:tc>
          <w:tcPr>
            <w:tcW w:w="1902" w:type="dxa"/>
            <w:tcBorders>
              <w:top w:val="nil"/>
              <w:left w:val="nil"/>
              <w:bottom w:val="single" w:sz="4" w:space="0" w:color="auto"/>
              <w:right w:val="single" w:sz="4" w:space="0" w:color="auto"/>
            </w:tcBorders>
            <w:shd w:val="clear" w:color="auto" w:fill="FFFFFF" w:themeFill="background1"/>
            <w:noWrap/>
            <w:vAlign w:val="center"/>
          </w:tcPr>
          <w:p w14:paraId="5DD075C0" w14:textId="77777777" w:rsidR="00E57E3E" w:rsidRPr="006472AF" w:rsidRDefault="00E57E3E" w:rsidP="00C14756">
            <w:pPr>
              <w:spacing w:after="0"/>
              <w:jc w:val="right"/>
              <w:rPr>
                <w:rFonts w:cstheme="majorHAnsi"/>
              </w:rPr>
            </w:pPr>
            <w:r w:rsidRPr="006472AF">
              <w:rPr>
                <w:rFonts w:cstheme="majorHAnsi"/>
              </w:rPr>
              <w:t>£546.77m</w:t>
            </w:r>
          </w:p>
        </w:tc>
        <w:tc>
          <w:tcPr>
            <w:tcW w:w="1977" w:type="dxa"/>
            <w:tcBorders>
              <w:top w:val="nil"/>
              <w:left w:val="nil"/>
              <w:bottom w:val="single" w:sz="4" w:space="0" w:color="auto"/>
              <w:right w:val="single" w:sz="4" w:space="0" w:color="auto"/>
            </w:tcBorders>
            <w:shd w:val="clear" w:color="auto" w:fill="FFFFFF" w:themeFill="background1"/>
            <w:noWrap/>
            <w:vAlign w:val="center"/>
          </w:tcPr>
          <w:p w14:paraId="21423DE3" w14:textId="77777777" w:rsidR="00E57E3E" w:rsidRPr="006472AF" w:rsidRDefault="00E57E3E" w:rsidP="00C14756">
            <w:pPr>
              <w:spacing w:after="0"/>
              <w:jc w:val="right"/>
              <w:rPr>
                <w:rFonts w:cstheme="majorHAnsi"/>
              </w:rPr>
            </w:pPr>
            <w:r w:rsidRPr="006472AF">
              <w:rPr>
                <w:rFonts w:cstheme="majorHAnsi"/>
              </w:rPr>
              <w:t>£145.55m</w:t>
            </w:r>
          </w:p>
        </w:tc>
      </w:tr>
      <w:tr w:rsidR="00E57E3E" w:rsidRPr="006472AF" w14:paraId="329A7733" w14:textId="77777777" w:rsidTr="00BC1992">
        <w:trPr>
          <w:trHeight w:val="510"/>
        </w:trPr>
        <w:tc>
          <w:tcPr>
            <w:tcW w:w="3330" w:type="dxa"/>
            <w:tcBorders>
              <w:top w:val="nil"/>
              <w:left w:val="single" w:sz="4" w:space="0" w:color="auto"/>
              <w:bottom w:val="single" w:sz="4" w:space="0" w:color="auto"/>
              <w:right w:val="single" w:sz="4" w:space="0" w:color="auto"/>
            </w:tcBorders>
            <w:shd w:val="clear" w:color="auto" w:fill="FFFFFF" w:themeFill="background1"/>
            <w:vAlign w:val="center"/>
          </w:tcPr>
          <w:p w14:paraId="760459AE" w14:textId="77777777" w:rsidR="00E57E3E" w:rsidRPr="006472AF" w:rsidRDefault="00E57E3E" w:rsidP="006531F0">
            <w:pPr>
              <w:spacing w:after="0"/>
              <w:jc w:val="left"/>
              <w:rPr>
                <w:rFonts w:cstheme="majorHAnsi"/>
                <w:color w:val="000000"/>
              </w:rPr>
            </w:pPr>
            <w:r w:rsidRPr="006472AF">
              <w:rPr>
                <w:rFonts w:cstheme="majorHAnsi"/>
                <w:color w:val="000000"/>
              </w:rPr>
              <w:t>Volunteering</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1FF155D5" w14:textId="77777777" w:rsidR="00E57E3E" w:rsidRPr="006472AF" w:rsidRDefault="00E57E3E" w:rsidP="00C14756">
            <w:pPr>
              <w:spacing w:after="0"/>
              <w:jc w:val="right"/>
              <w:rPr>
                <w:rFonts w:cstheme="majorHAnsi"/>
              </w:rPr>
            </w:pPr>
            <w:r w:rsidRPr="006472AF">
              <w:rPr>
                <w:rFonts w:cstheme="majorHAnsi"/>
              </w:rPr>
              <w:t>£33.96m</w:t>
            </w:r>
          </w:p>
        </w:tc>
        <w:tc>
          <w:tcPr>
            <w:tcW w:w="1903" w:type="dxa"/>
            <w:tcBorders>
              <w:top w:val="nil"/>
              <w:left w:val="nil"/>
              <w:bottom w:val="single" w:sz="4" w:space="0" w:color="auto"/>
              <w:right w:val="single" w:sz="4" w:space="0" w:color="auto"/>
            </w:tcBorders>
            <w:shd w:val="clear" w:color="auto" w:fill="FFFFFF" w:themeFill="background1"/>
            <w:noWrap/>
            <w:vAlign w:val="center"/>
          </w:tcPr>
          <w:p w14:paraId="08769C55" w14:textId="77777777" w:rsidR="00E57E3E" w:rsidRPr="006472AF" w:rsidRDefault="00E57E3E" w:rsidP="00C14756">
            <w:pPr>
              <w:spacing w:after="0"/>
              <w:jc w:val="right"/>
              <w:rPr>
                <w:rFonts w:cstheme="majorHAnsi"/>
              </w:rPr>
            </w:pPr>
            <w:r w:rsidRPr="006472AF">
              <w:rPr>
                <w:rFonts w:cstheme="majorHAnsi"/>
              </w:rPr>
              <w:t>£49.52m</w:t>
            </w:r>
          </w:p>
        </w:tc>
        <w:tc>
          <w:tcPr>
            <w:tcW w:w="1901" w:type="dxa"/>
            <w:tcBorders>
              <w:top w:val="nil"/>
              <w:left w:val="nil"/>
              <w:bottom w:val="single" w:sz="4" w:space="0" w:color="auto"/>
              <w:right w:val="single" w:sz="4" w:space="0" w:color="auto"/>
            </w:tcBorders>
            <w:shd w:val="clear" w:color="auto" w:fill="FFFFFF" w:themeFill="background1"/>
            <w:vAlign w:val="center"/>
          </w:tcPr>
          <w:p w14:paraId="49581516" w14:textId="77777777" w:rsidR="00E57E3E" w:rsidRPr="006472AF" w:rsidRDefault="00E57E3E" w:rsidP="00C14756">
            <w:pPr>
              <w:spacing w:after="0"/>
              <w:jc w:val="right"/>
              <w:rPr>
                <w:rFonts w:cstheme="majorHAnsi"/>
              </w:rPr>
            </w:pPr>
            <w:r w:rsidRPr="006472AF">
              <w:rPr>
                <w:rFonts w:cstheme="majorHAnsi"/>
              </w:rPr>
              <w:t>£76.71m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2DCD46" w14:textId="77777777" w:rsidR="00E57E3E" w:rsidRPr="006472AF" w:rsidRDefault="00E57E3E" w:rsidP="00C14756">
            <w:pPr>
              <w:spacing w:after="0"/>
              <w:jc w:val="right"/>
              <w:rPr>
                <w:rFonts w:cstheme="majorHAnsi"/>
              </w:rPr>
            </w:pPr>
            <w:r w:rsidRPr="006472AF">
              <w:rPr>
                <w:rFonts w:cstheme="majorHAnsi"/>
              </w:rPr>
              <w:t>£46.54m</w:t>
            </w:r>
          </w:p>
        </w:tc>
        <w:tc>
          <w:tcPr>
            <w:tcW w:w="1902" w:type="dxa"/>
            <w:tcBorders>
              <w:top w:val="nil"/>
              <w:left w:val="nil"/>
              <w:bottom w:val="single" w:sz="4" w:space="0" w:color="auto"/>
              <w:right w:val="single" w:sz="4" w:space="0" w:color="auto"/>
            </w:tcBorders>
            <w:shd w:val="clear" w:color="auto" w:fill="FFFFFF" w:themeFill="background1"/>
            <w:noWrap/>
            <w:vAlign w:val="center"/>
          </w:tcPr>
          <w:p w14:paraId="1F28DFEE" w14:textId="77777777" w:rsidR="00E57E3E" w:rsidRPr="006472AF" w:rsidRDefault="00E57E3E" w:rsidP="00C14756">
            <w:pPr>
              <w:spacing w:after="0"/>
              <w:jc w:val="right"/>
              <w:rPr>
                <w:rFonts w:cstheme="majorHAnsi"/>
              </w:rPr>
            </w:pPr>
            <w:r w:rsidRPr="006472AF">
              <w:rPr>
                <w:rFonts w:cstheme="majorHAnsi"/>
              </w:rPr>
              <w:t>£85.69m</w:t>
            </w:r>
          </w:p>
        </w:tc>
        <w:tc>
          <w:tcPr>
            <w:tcW w:w="1977" w:type="dxa"/>
            <w:tcBorders>
              <w:top w:val="nil"/>
              <w:left w:val="nil"/>
              <w:bottom w:val="single" w:sz="4" w:space="0" w:color="auto"/>
              <w:right w:val="single" w:sz="4" w:space="0" w:color="auto"/>
            </w:tcBorders>
            <w:shd w:val="clear" w:color="auto" w:fill="FFFFFF" w:themeFill="background1"/>
            <w:noWrap/>
            <w:vAlign w:val="center"/>
          </w:tcPr>
          <w:p w14:paraId="7E237DB5" w14:textId="77777777" w:rsidR="00E57E3E" w:rsidRPr="006472AF" w:rsidRDefault="00E57E3E" w:rsidP="00C14756">
            <w:pPr>
              <w:spacing w:after="0"/>
              <w:jc w:val="right"/>
              <w:rPr>
                <w:rFonts w:cstheme="majorHAnsi"/>
              </w:rPr>
            </w:pPr>
            <w:r w:rsidRPr="006472AF">
              <w:rPr>
                <w:rFonts w:cstheme="majorHAnsi"/>
              </w:rPr>
              <w:t>£45.89m</w:t>
            </w:r>
          </w:p>
        </w:tc>
      </w:tr>
      <w:tr w:rsidR="00E57E3E" w:rsidRPr="006472AF" w14:paraId="05E1C015" w14:textId="77777777" w:rsidTr="00BC1992">
        <w:trPr>
          <w:trHeight w:val="510"/>
        </w:trPr>
        <w:tc>
          <w:tcPr>
            <w:tcW w:w="3330" w:type="dxa"/>
            <w:tcBorders>
              <w:top w:val="nil"/>
              <w:left w:val="single" w:sz="4" w:space="0" w:color="auto"/>
              <w:bottom w:val="single" w:sz="4" w:space="0" w:color="auto"/>
              <w:right w:val="single" w:sz="4" w:space="0" w:color="auto"/>
            </w:tcBorders>
            <w:shd w:val="clear" w:color="auto" w:fill="FFFFFF" w:themeFill="background1"/>
            <w:vAlign w:val="center"/>
          </w:tcPr>
          <w:p w14:paraId="6ADBAF79" w14:textId="1F74CE59" w:rsidR="00E57E3E" w:rsidRPr="006472AF" w:rsidRDefault="00E57E3E" w:rsidP="006531F0">
            <w:pPr>
              <w:spacing w:after="0"/>
              <w:jc w:val="left"/>
              <w:rPr>
                <w:rFonts w:cstheme="majorHAnsi"/>
                <w:color w:val="000000"/>
              </w:rPr>
            </w:pPr>
            <w:r w:rsidRPr="006472AF">
              <w:rPr>
                <w:rFonts w:cstheme="majorHAnsi"/>
                <w:color w:val="000000"/>
              </w:rPr>
              <w:t>Education</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08E7ADE5" w14:textId="77777777" w:rsidR="00E57E3E" w:rsidRPr="006472AF" w:rsidRDefault="00E57E3E" w:rsidP="00C14756">
            <w:pPr>
              <w:spacing w:after="0"/>
              <w:jc w:val="right"/>
              <w:rPr>
                <w:rFonts w:cstheme="majorHAnsi"/>
              </w:rPr>
            </w:pPr>
            <w:r w:rsidRPr="006472AF">
              <w:rPr>
                <w:rFonts w:cstheme="majorHAnsi"/>
              </w:rPr>
              <w:t>£1.99m</w:t>
            </w:r>
          </w:p>
        </w:tc>
        <w:tc>
          <w:tcPr>
            <w:tcW w:w="1903" w:type="dxa"/>
            <w:tcBorders>
              <w:top w:val="nil"/>
              <w:left w:val="nil"/>
              <w:bottom w:val="single" w:sz="4" w:space="0" w:color="auto"/>
              <w:right w:val="single" w:sz="4" w:space="0" w:color="auto"/>
            </w:tcBorders>
            <w:shd w:val="clear" w:color="auto" w:fill="FFFFFF" w:themeFill="background1"/>
            <w:noWrap/>
            <w:vAlign w:val="center"/>
          </w:tcPr>
          <w:p w14:paraId="3B06E443" w14:textId="77777777" w:rsidR="00E57E3E" w:rsidRPr="006472AF" w:rsidRDefault="00E57E3E" w:rsidP="00C14756">
            <w:pPr>
              <w:spacing w:after="0"/>
              <w:jc w:val="right"/>
              <w:rPr>
                <w:rFonts w:cstheme="majorHAnsi"/>
              </w:rPr>
            </w:pPr>
            <w:r w:rsidRPr="006472AF">
              <w:rPr>
                <w:rFonts w:cstheme="majorHAnsi"/>
              </w:rPr>
              <w:t>£0.89m</w:t>
            </w:r>
          </w:p>
        </w:tc>
        <w:tc>
          <w:tcPr>
            <w:tcW w:w="1901" w:type="dxa"/>
            <w:tcBorders>
              <w:top w:val="nil"/>
              <w:left w:val="nil"/>
              <w:bottom w:val="single" w:sz="4" w:space="0" w:color="auto"/>
              <w:right w:val="single" w:sz="4" w:space="0" w:color="auto"/>
            </w:tcBorders>
            <w:shd w:val="clear" w:color="auto" w:fill="FFFFFF" w:themeFill="background1"/>
            <w:vAlign w:val="center"/>
          </w:tcPr>
          <w:p w14:paraId="126FAF6A" w14:textId="77777777" w:rsidR="00E57E3E" w:rsidRPr="006472AF" w:rsidRDefault="00E57E3E" w:rsidP="00C14756">
            <w:pPr>
              <w:spacing w:after="0"/>
              <w:jc w:val="right"/>
              <w:rPr>
                <w:rFonts w:cstheme="majorHAnsi"/>
              </w:rPr>
            </w:pPr>
            <w:r w:rsidRPr="006472AF">
              <w:rPr>
                <w:rFonts w:cstheme="majorHAnsi"/>
              </w:rPr>
              <w:t>£1.16m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A93D83" w14:textId="77777777" w:rsidR="00E57E3E" w:rsidRPr="006472AF" w:rsidRDefault="00E57E3E" w:rsidP="00C14756">
            <w:pPr>
              <w:spacing w:after="0"/>
              <w:jc w:val="right"/>
              <w:rPr>
                <w:rFonts w:cstheme="majorHAnsi"/>
              </w:rPr>
            </w:pPr>
            <w:r w:rsidRPr="006472AF">
              <w:rPr>
                <w:rFonts w:cstheme="majorHAnsi"/>
              </w:rPr>
              <w:t>£4.65m</w:t>
            </w:r>
          </w:p>
        </w:tc>
        <w:tc>
          <w:tcPr>
            <w:tcW w:w="1902" w:type="dxa"/>
            <w:tcBorders>
              <w:top w:val="nil"/>
              <w:left w:val="nil"/>
              <w:bottom w:val="single" w:sz="4" w:space="0" w:color="auto"/>
              <w:right w:val="single" w:sz="4" w:space="0" w:color="auto"/>
            </w:tcBorders>
            <w:shd w:val="clear" w:color="auto" w:fill="FFFFFF" w:themeFill="background1"/>
            <w:noWrap/>
            <w:vAlign w:val="center"/>
          </w:tcPr>
          <w:p w14:paraId="34A9B9C9" w14:textId="77777777" w:rsidR="00E57E3E" w:rsidRPr="006472AF" w:rsidRDefault="00E57E3E" w:rsidP="00C14756">
            <w:pPr>
              <w:spacing w:after="0"/>
              <w:jc w:val="right"/>
              <w:rPr>
                <w:rFonts w:cstheme="majorHAnsi"/>
              </w:rPr>
            </w:pPr>
            <w:r w:rsidRPr="006472AF">
              <w:rPr>
                <w:rFonts w:cstheme="majorHAnsi"/>
              </w:rPr>
              <w:t>£4.01m</w:t>
            </w:r>
          </w:p>
        </w:tc>
        <w:tc>
          <w:tcPr>
            <w:tcW w:w="1977" w:type="dxa"/>
            <w:tcBorders>
              <w:top w:val="nil"/>
              <w:left w:val="nil"/>
              <w:bottom w:val="single" w:sz="4" w:space="0" w:color="auto"/>
              <w:right w:val="single" w:sz="4" w:space="0" w:color="auto"/>
            </w:tcBorders>
            <w:shd w:val="clear" w:color="auto" w:fill="FFFFFF" w:themeFill="background1"/>
            <w:noWrap/>
            <w:vAlign w:val="center"/>
          </w:tcPr>
          <w:p w14:paraId="6E491CC6" w14:textId="77777777" w:rsidR="00E57E3E" w:rsidRPr="006472AF" w:rsidRDefault="00E57E3E" w:rsidP="00C14756">
            <w:pPr>
              <w:spacing w:after="0"/>
              <w:jc w:val="right"/>
              <w:rPr>
                <w:rFonts w:cstheme="majorHAnsi"/>
              </w:rPr>
            </w:pPr>
            <w:r w:rsidRPr="006472AF">
              <w:rPr>
                <w:rFonts w:cstheme="majorHAnsi"/>
              </w:rPr>
              <w:t>£0.80m</w:t>
            </w:r>
          </w:p>
        </w:tc>
      </w:tr>
      <w:tr w:rsidR="00E57E3E" w:rsidRPr="006472AF" w14:paraId="7AEB564A" w14:textId="77777777" w:rsidTr="00BC1992">
        <w:trPr>
          <w:trHeight w:val="290"/>
        </w:trPr>
        <w:tc>
          <w:tcPr>
            <w:tcW w:w="3330" w:type="dxa"/>
            <w:tcBorders>
              <w:top w:val="nil"/>
              <w:left w:val="nil"/>
              <w:bottom w:val="single" w:sz="4" w:space="0" w:color="auto"/>
              <w:right w:val="nil"/>
            </w:tcBorders>
            <w:noWrap/>
            <w:vAlign w:val="bottom"/>
            <w:hideMark/>
          </w:tcPr>
          <w:p w14:paraId="4092ABB0" w14:textId="77777777" w:rsidR="00E57E3E" w:rsidRPr="006472AF" w:rsidRDefault="00E57E3E" w:rsidP="006531F0">
            <w:pPr>
              <w:spacing w:after="0"/>
              <w:jc w:val="left"/>
              <w:rPr>
                <w:rFonts w:asciiTheme="majorHAnsi" w:hAnsiTheme="majorHAnsi" w:cstheme="majorHAnsi"/>
                <w:color w:val="000000"/>
              </w:rPr>
            </w:pPr>
          </w:p>
        </w:tc>
        <w:tc>
          <w:tcPr>
            <w:tcW w:w="1901" w:type="dxa"/>
            <w:tcBorders>
              <w:top w:val="nil"/>
              <w:left w:val="nil"/>
              <w:bottom w:val="single" w:sz="4" w:space="0" w:color="auto"/>
              <w:right w:val="nil"/>
            </w:tcBorders>
            <w:noWrap/>
            <w:vAlign w:val="center"/>
          </w:tcPr>
          <w:p w14:paraId="55D15268" w14:textId="77777777" w:rsidR="00E57E3E" w:rsidRPr="006472AF" w:rsidRDefault="00E57E3E" w:rsidP="00C14756">
            <w:pPr>
              <w:spacing w:after="0"/>
              <w:jc w:val="right"/>
              <w:rPr>
                <w:rFonts w:asciiTheme="majorHAnsi" w:hAnsiTheme="majorHAnsi" w:cstheme="majorHAnsi"/>
              </w:rPr>
            </w:pPr>
          </w:p>
        </w:tc>
        <w:tc>
          <w:tcPr>
            <w:tcW w:w="1903" w:type="dxa"/>
            <w:tcBorders>
              <w:top w:val="nil"/>
              <w:left w:val="nil"/>
              <w:bottom w:val="single" w:sz="4" w:space="0" w:color="auto"/>
              <w:right w:val="nil"/>
            </w:tcBorders>
            <w:noWrap/>
            <w:vAlign w:val="center"/>
          </w:tcPr>
          <w:p w14:paraId="5A5346F5" w14:textId="77777777" w:rsidR="00E57E3E" w:rsidRPr="006472AF" w:rsidRDefault="00E57E3E" w:rsidP="00C14756">
            <w:pPr>
              <w:spacing w:after="0"/>
              <w:jc w:val="right"/>
              <w:rPr>
                <w:rFonts w:asciiTheme="majorHAnsi" w:hAnsiTheme="majorHAnsi" w:cstheme="majorHAnsi"/>
              </w:rPr>
            </w:pPr>
          </w:p>
        </w:tc>
        <w:tc>
          <w:tcPr>
            <w:tcW w:w="1901" w:type="dxa"/>
            <w:tcBorders>
              <w:top w:val="nil"/>
              <w:left w:val="nil"/>
              <w:bottom w:val="single" w:sz="4" w:space="0" w:color="auto"/>
              <w:right w:val="nil"/>
            </w:tcBorders>
            <w:vAlign w:val="center"/>
          </w:tcPr>
          <w:p w14:paraId="47D6036A" w14:textId="77777777" w:rsidR="00E57E3E" w:rsidRPr="006472AF" w:rsidRDefault="00E57E3E" w:rsidP="00C14756">
            <w:pPr>
              <w:spacing w:after="0"/>
              <w:jc w:val="right"/>
              <w:rPr>
                <w:rFonts w:asciiTheme="majorHAnsi" w:hAnsiTheme="majorHAnsi" w:cstheme="majorHAnsi"/>
              </w:rPr>
            </w:pPr>
          </w:p>
        </w:tc>
        <w:tc>
          <w:tcPr>
            <w:tcW w:w="1901" w:type="dxa"/>
            <w:tcBorders>
              <w:top w:val="nil"/>
              <w:left w:val="nil"/>
              <w:bottom w:val="single" w:sz="4" w:space="0" w:color="auto"/>
              <w:right w:val="nil"/>
            </w:tcBorders>
            <w:noWrap/>
            <w:vAlign w:val="center"/>
          </w:tcPr>
          <w:p w14:paraId="784DCE40" w14:textId="77777777" w:rsidR="00E57E3E" w:rsidRPr="006472AF" w:rsidRDefault="00E57E3E" w:rsidP="00C14756">
            <w:pPr>
              <w:spacing w:after="0"/>
              <w:jc w:val="right"/>
              <w:rPr>
                <w:rFonts w:asciiTheme="majorHAnsi" w:hAnsiTheme="majorHAnsi" w:cstheme="majorHAnsi"/>
              </w:rPr>
            </w:pPr>
          </w:p>
        </w:tc>
        <w:tc>
          <w:tcPr>
            <w:tcW w:w="1902" w:type="dxa"/>
            <w:tcBorders>
              <w:top w:val="nil"/>
              <w:left w:val="nil"/>
              <w:bottom w:val="single" w:sz="4" w:space="0" w:color="auto"/>
              <w:right w:val="nil"/>
            </w:tcBorders>
            <w:noWrap/>
            <w:vAlign w:val="center"/>
          </w:tcPr>
          <w:p w14:paraId="5BEE57CC" w14:textId="77777777" w:rsidR="00E57E3E" w:rsidRPr="006472AF" w:rsidRDefault="00E57E3E" w:rsidP="00C14756">
            <w:pPr>
              <w:spacing w:after="0"/>
              <w:jc w:val="right"/>
              <w:rPr>
                <w:rFonts w:asciiTheme="majorHAnsi" w:hAnsiTheme="majorHAnsi" w:cstheme="majorHAnsi"/>
              </w:rPr>
            </w:pPr>
          </w:p>
        </w:tc>
        <w:tc>
          <w:tcPr>
            <w:tcW w:w="1977" w:type="dxa"/>
            <w:tcBorders>
              <w:top w:val="nil"/>
              <w:left w:val="nil"/>
              <w:bottom w:val="single" w:sz="4" w:space="0" w:color="auto"/>
              <w:right w:val="nil"/>
            </w:tcBorders>
            <w:noWrap/>
            <w:vAlign w:val="center"/>
          </w:tcPr>
          <w:p w14:paraId="61AB1256" w14:textId="77777777" w:rsidR="00E57E3E" w:rsidRPr="006472AF" w:rsidRDefault="00E57E3E" w:rsidP="00C14756">
            <w:pPr>
              <w:spacing w:after="0"/>
              <w:jc w:val="right"/>
              <w:rPr>
                <w:rFonts w:asciiTheme="majorHAnsi" w:hAnsiTheme="majorHAnsi" w:cstheme="majorHAnsi"/>
              </w:rPr>
            </w:pPr>
          </w:p>
        </w:tc>
      </w:tr>
      <w:tr w:rsidR="00E57E3E" w:rsidRPr="006472AF" w14:paraId="4E0840BF" w14:textId="77777777" w:rsidTr="00BC1992">
        <w:trPr>
          <w:trHeight w:val="301"/>
        </w:trPr>
        <w:tc>
          <w:tcPr>
            <w:tcW w:w="3330" w:type="dxa"/>
            <w:tcBorders>
              <w:top w:val="single" w:sz="4" w:space="0" w:color="auto"/>
              <w:left w:val="nil"/>
              <w:bottom w:val="single" w:sz="4" w:space="0" w:color="auto"/>
              <w:right w:val="nil"/>
            </w:tcBorders>
            <w:noWrap/>
            <w:vAlign w:val="center"/>
            <w:hideMark/>
          </w:tcPr>
          <w:p w14:paraId="315A480C" w14:textId="75780385" w:rsidR="00E57E3E" w:rsidRPr="006472AF" w:rsidRDefault="00E57E3E" w:rsidP="006531F0">
            <w:pPr>
              <w:spacing w:after="0"/>
              <w:jc w:val="left"/>
              <w:rPr>
                <w:rFonts w:asciiTheme="majorHAnsi" w:hAnsiTheme="majorHAnsi" w:cstheme="majorHAnsi"/>
                <w:b/>
                <w:bCs/>
                <w:color w:val="000000"/>
              </w:rPr>
            </w:pPr>
            <w:r w:rsidRPr="006472AF">
              <w:rPr>
                <w:rFonts w:asciiTheme="majorHAnsi" w:hAnsiTheme="majorHAnsi" w:cstheme="majorHAnsi"/>
                <w:b/>
                <w:bCs/>
                <w:color w:val="000000"/>
              </w:rPr>
              <w:t xml:space="preserve">Total </w:t>
            </w:r>
            <w:r w:rsidR="002C78B0">
              <w:rPr>
                <w:rFonts w:asciiTheme="majorHAnsi" w:hAnsiTheme="majorHAnsi" w:cstheme="majorHAnsi"/>
                <w:b/>
                <w:bCs/>
                <w:color w:val="000000"/>
              </w:rPr>
              <w:t xml:space="preserve">Asset </w:t>
            </w:r>
            <w:r w:rsidRPr="006472AF">
              <w:rPr>
                <w:rFonts w:asciiTheme="majorHAnsi" w:hAnsiTheme="majorHAnsi" w:cstheme="majorHAnsi"/>
                <w:b/>
                <w:bCs/>
                <w:color w:val="000000"/>
              </w:rPr>
              <w:t>Value</w:t>
            </w:r>
          </w:p>
        </w:tc>
        <w:tc>
          <w:tcPr>
            <w:tcW w:w="1901" w:type="dxa"/>
            <w:tcBorders>
              <w:top w:val="single" w:sz="4" w:space="0" w:color="auto"/>
              <w:left w:val="nil"/>
              <w:bottom w:val="single" w:sz="4" w:space="0" w:color="auto"/>
              <w:right w:val="nil"/>
            </w:tcBorders>
            <w:noWrap/>
            <w:vAlign w:val="center"/>
          </w:tcPr>
          <w:p w14:paraId="6F8AD53D"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£28,079.1m</w:t>
            </w:r>
          </w:p>
        </w:tc>
        <w:tc>
          <w:tcPr>
            <w:tcW w:w="1903" w:type="dxa"/>
            <w:tcBorders>
              <w:top w:val="single" w:sz="4" w:space="0" w:color="auto"/>
              <w:left w:val="nil"/>
              <w:bottom w:val="single" w:sz="4" w:space="0" w:color="auto"/>
              <w:right w:val="nil"/>
            </w:tcBorders>
            <w:noWrap/>
            <w:vAlign w:val="center"/>
          </w:tcPr>
          <w:p w14:paraId="3C23800B"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£12,368.0m</w:t>
            </w:r>
          </w:p>
        </w:tc>
        <w:tc>
          <w:tcPr>
            <w:tcW w:w="1901" w:type="dxa"/>
            <w:tcBorders>
              <w:top w:val="single" w:sz="4" w:space="0" w:color="auto"/>
              <w:left w:val="nil"/>
              <w:bottom w:val="single" w:sz="4" w:space="0" w:color="auto"/>
              <w:right w:val="nil"/>
            </w:tcBorders>
            <w:vAlign w:val="center"/>
          </w:tcPr>
          <w:p w14:paraId="38F3FBA4"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£15,791.4m</w:t>
            </w:r>
          </w:p>
        </w:tc>
        <w:tc>
          <w:tcPr>
            <w:tcW w:w="1901" w:type="dxa"/>
            <w:tcBorders>
              <w:top w:val="single" w:sz="4" w:space="0" w:color="auto"/>
              <w:left w:val="nil"/>
              <w:bottom w:val="single" w:sz="4" w:space="0" w:color="auto"/>
              <w:right w:val="nil"/>
            </w:tcBorders>
            <w:noWrap/>
            <w:vAlign w:val="center"/>
          </w:tcPr>
          <w:p w14:paraId="03098DA9"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£17,462.5m</w:t>
            </w:r>
          </w:p>
        </w:tc>
        <w:tc>
          <w:tcPr>
            <w:tcW w:w="1902" w:type="dxa"/>
            <w:tcBorders>
              <w:top w:val="single" w:sz="4" w:space="0" w:color="auto"/>
              <w:left w:val="nil"/>
              <w:bottom w:val="single" w:sz="4" w:space="0" w:color="auto"/>
              <w:right w:val="nil"/>
            </w:tcBorders>
            <w:noWrap/>
            <w:vAlign w:val="center"/>
          </w:tcPr>
          <w:p w14:paraId="208C4006"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£18,702.7m</w:t>
            </w:r>
          </w:p>
        </w:tc>
        <w:tc>
          <w:tcPr>
            <w:tcW w:w="1977" w:type="dxa"/>
            <w:tcBorders>
              <w:top w:val="single" w:sz="4" w:space="0" w:color="auto"/>
              <w:left w:val="nil"/>
              <w:bottom w:val="single" w:sz="4" w:space="0" w:color="auto"/>
              <w:right w:val="nil"/>
            </w:tcBorders>
            <w:noWrap/>
            <w:vAlign w:val="center"/>
          </w:tcPr>
          <w:p w14:paraId="3F80DF6D"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£6,760.0m</w:t>
            </w:r>
          </w:p>
        </w:tc>
      </w:tr>
      <w:tr w:rsidR="0068536F" w:rsidRPr="006472AF" w14:paraId="02ABFF7C" w14:textId="77777777" w:rsidTr="00BC1992">
        <w:trPr>
          <w:trHeight w:val="301"/>
        </w:trPr>
        <w:tc>
          <w:tcPr>
            <w:tcW w:w="3330" w:type="dxa"/>
            <w:tcBorders>
              <w:top w:val="single" w:sz="4" w:space="0" w:color="auto"/>
              <w:left w:val="nil"/>
              <w:bottom w:val="double" w:sz="4" w:space="0" w:color="auto"/>
              <w:right w:val="nil"/>
            </w:tcBorders>
            <w:noWrap/>
            <w:vAlign w:val="center"/>
          </w:tcPr>
          <w:p w14:paraId="28B51FFA" w14:textId="596FAF0E" w:rsidR="0068536F" w:rsidRPr="006472AF" w:rsidRDefault="0068536F" w:rsidP="0068536F">
            <w:pPr>
              <w:spacing w:after="0"/>
              <w:jc w:val="left"/>
              <w:rPr>
                <w:rFonts w:asciiTheme="majorHAnsi" w:hAnsiTheme="majorHAnsi" w:cstheme="majorHAnsi"/>
                <w:b/>
                <w:bCs/>
                <w:color w:val="000000"/>
              </w:rPr>
            </w:pPr>
            <w:r>
              <w:rPr>
                <w:rFonts w:asciiTheme="majorHAnsi" w:hAnsiTheme="majorHAnsi" w:cstheme="majorHAnsi"/>
                <w:b/>
                <w:bCs/>
                <w:color w:val="000000"/>
              </w:rPr>
              <w:t>Total Monetary Flow (annual)</w:t>
            </w:r>
          </w:p>
        </w:tc>
        <w:tc>
          <w:tcPr>
            <w:tcW w:w="1901" w:type="dxa"/>
            <w:tcBorders>
              <w:top w:val="single" w:sz="4" w:space="0" w:color="auto"/>
              <w:left w:val="nil"/>
              <w:bottom w:val="double" w:sz="4" w:space="0" w:color="auto"/>
              <w:right w:val="nil"/>
            </w:tcBorders>
            <w:noWrap/>
            <w:vAlign w:val="center"/>
          </w:tcPr>
          <w:p w14:paraId="4798728A" w14:textId="2708ECA6"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£932.0m</w:t>
            </w:r>
          </w:p>
        </w:tc>
        <w:tc>
          <w:tcPr>
            <w:tcW w:w="1903" w:type="dxa"/>
            <w:tcBorders>
              <w:top w:val="single" w:sz="4" w:space="0" w:color="auto"/>
              <w:left w:val="nil"/>
              <w:bottom w:val="double" w:sz="4" w:space="0" w:color="auto"/>
              <w:right w:val="nil"/>
            </w:tcBorders>
            <w:noWrap/>
            <w:vAlign w:val="center"/>
          </w:tcPr>
          <w:p w14:paraId="3E6F053B" w14:textId="1C6B5494"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£412.5m</w:t>
            </w:r>
          </w:p>
        </w:tc>
        <w:tc>
          <w:tcPr>
            <w:tcW w:w="1901" w:type="dxa"/>
            <w:tcBorders>
              <w:top w:val="single" w:sz="4" w:space="0" w:color="auto"/>
              <w:left w:val="nil"/>
              <w:bottom w:val="double" w:sz="4" w:space="0" w:color="auto"/>
              <w:right w:val="nil"/>
            </w:tcBorders>
            <w:vAlign w:val="center"/>
          </w:tcPr>
          <w:p w14:paraId="44286DE4" w14:textId="5C98750D"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£528.9m</w:t>
            </w:r>
          </w:p>
        </w:tc>
        <w:tc>
          <w:tcPr>
            <w:tcW w:w="1901" w:type="dxa"/>
            <w:tcBorders>
              <w:top w:val="single" w:sz="4" w:space="0" w:color="auto"/>
              <w:left w:val="nil"/>
              <w:bottom w:val="double" w:sz="4" w:space="0" w:color="auto"/>
              <w:right w:val="nil"/>
            </w:tcBorders>
            <w:noWrap/>
            <w:vAlign w:val="center"/>
          </w:tcPr>
          <w:p w14:paraId="5E0CAC47" w14:textId="5FCF51E8"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£581.5m</w:t>
            </w:r>
          </w:p>
        </w:tc>
        <w:tc>
          <w:tcPr>
            <w:tcW w:w="1902" w:type="dxa"/>
            <w:tcBorders>
              <w:top w:val="single" w:sz="4" w:space="0" w:color="auto"/>
              <w:left w:val="nil"/>
              <w:bottom w:val="double" w:sz="4" w:space="0" w:color="auto"/>
              <w:right w:val="nil"/>
            </w:tcBorders>
            <w:noWrap/>
            <w:vAlign w:val="center"/>
          </w:tcPr>
          <w:p w14:paraId="273A0194" w14:textId="2F86177C"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£623.9m</w:t>
            </w:r>
          </w:p>
        </w:tc>
        <w:tc>
          <w:tcPr>
            <w:tcW w:w="1977" w:type="dxa"/>
            <w:tcBorders>
              <w:top w:val="single" w:sz="4" w:space="0" w:color="auto"/>
              <w:left w:val="nil"/>
              <w:bottom w:val="double" w:sz="4" w:space="0" w:color="auto"/>
              <w:right w:val="nil"/>
            </w:tcBorders>
            <w:noWrap/>
            <w:vAlign w:val="center"/>
          </w:tcPr>
          <w:p w14:paraId="775B3FD0" w14:textId="463FC098" w:rsidR="0068536F" w:rsidRPr="0068536F" w:rsidRDefault="0068536F" w:rsidP="0068536F">
            <w:pPr>
              <w:spacing w:after="0"/>
              <w:jc w:val="right"/>
              <w:rPr>
                <w:rFonts w:asciiTheme="majorHAnsi" w:hAnsiTheme="majorHAnsi" w:cstheme="majorHAnsi"/>
              </w:rPr>
            </w:pPr>
            <w:r w:rsidRPr="00BC1992">
              <w:rPr>
                <w:rFonts w:asciiTheme="majorHAnsi" w:hAnsiTheme="majorHAnsi"/>
              </w:rPr>
              <w:t>£226.3m</w:t>
            </w:r>
          </w:p>
        </w:tc>
      </w:tr>
    </w:tbl>
    <w:p w14:paraId="280EE576" w14:textId="77777777" w:rsidR="00D9298B" w:rsidRDefault="00D9298B" w:rsidP="00FB3905">
      <w:pPr>
        <w:pStyle w:val="BodyText"/>
        <w:rPr>
          <w:b/>
          <w:bCs/>
          <w:lang w:eastAsia="zh-TW"/>
        </w:rPr>
        <w:sectPr w:rsidR="00D9298B" w:rsidSect="00A72933">
          <w:pgSz w:w="16838" w:h="11906" w:orient="landscape"/>
          <w:pgMar w:top="1440" w:right="1134" w:bottom="1440" w:left="851" w:header="709" w:footer="284" w:gutter="0"/>
          <w:cols w:space="708"/>
          <w:docGrid w:linePitch="360"/>
        </w:sectPr>
      </w:pPr>
    </w:p>
    <w:p w14:paraId="08BCDF46" w14:textId="769A1657" w:rsidR="00FB3905" w:rsidRDefault="00FB3905" w:rsidP="00FB3905">
      <w:pPr>
        <w:pStyle w:val="BodyText"/>
        <w:rPr>
          <w:b/>
          <w:bCs/>
        </w:rPr>
      </w:pPr>
      <w:r w:rsidRPr="0010735D">
        <w:rPr>
          <w:b/>
          <w:bCs/>
          <w:lang w:eastAsia="zh-TW"/>
        </w:rPr>
        <w:lastRenderedPageBreak/>
        <w:t xml:space="preserve">Figure </w:t>
      </w:r>
      <w:r>
        <w:rPr>
          <w:b/>
          <w:bCs/>
          <w:lang w:eastAsia="zh-TW"/>
        </w:rPr>
        <w:t>4</w:t>
      </w:r>
      <w:r w:rsidRPr="0010735D">
        <w:rPr>
          <w:b/>
          <w:bCs/>
          <w:lang w:eastAsia="zh-TW"/>
        </w:rPr>
        <w:t xml:space="preserve">: </w:t>
      </w:r>
      <w:r w:rsidRPr="00C80E16">
        <w:rPr>
          <w:b/>
          <w:bCs/>
        </w:rPr>
        <w:t xml:space="preserve">Relative contribution of each </w:t>
      </w:r>
      <w:r>
        <w:rPr>
          <w:b/>
          <w:bCs/>
        </w:rPr>
        <w:t>r</w:t>
      </w:r>
      <w:r w:rsidRPr="00C80E16">
        <w:rPr>
          <w:b/>
          <w:bCs/>
        </w:rPr>
        <w:t xml:space="preserve">egion to the </w:t>
      </w:r>
      <w:r>
        <w:rPr>
          <w:b/>
          <w:bCs/>
        </w:rPr>
        <w:t>t</w:t>
      </w:r>
      <w:r w:rsidRPr="00C80E16">
        <w:rPr>
          <w:b/>
          <w:bCs/>
        </w:rPr>
        <w:t>otal annual</w:t>
      </w:r>
      <w:r>
        <w:rPr>
          <w:b/>
          <w:bCs/>
        </w:rPr>
        <w:t xml:space="preserve"> monetary</w:t>
      </w:r>
      <w:r w:rsidRPr="00C80E16">
        <w:rPr>
          <w:b/>
          <w:bCs/>
        </w:rPr>
        <w:t xml:space="preserve"> flow of</w:t>
      </w:r>
      <w:r>
        <w:rPr>
          <w:b/>
          <w:bCs/>
        </w:rPr>
        <w:t xml:space="preserve"> each</w:t>
      </w:r>
      <w:r w:rsidRPr="00C80E16">
        <w:rPr>
          <w:b/>
          <w:bCs/>
        </w:rPr>
        <w:t xml:space="preserve"> ecosystem service (%)</w:t>
      </w:r>
    </w:p>
    <w:p w14:paraId="6063B12F" w14:textId="2A1175AE" w:rsidR="00FD6AE8" w:rsidRDefault="00FD6AE8" w:rsidP="00FB3905">
      <w:pPr>
        <w:pStyle w:val="BodyText"/>
        <w:rPr>
          <w:b/>
          <w:bCs/>
        </w:rPr>
      </w:pPr>
      <w:r>
        <w:rPr>
          <w:b/>
          <w:bCs/>
          <w:noProof/>
        </w:rPr>
        <w:drawing>
          <wp:inline distT="0" distB="0" distL="0" distR="0" wp14:anchorId="559BD955" wp14:editId="35080DE6">
            <wp:extent cx="9425354" cy="4036807"/>
            <wp:effectExtent l="0" t="0" r="4445" b="1905"/>
            <wp:docPr id="972075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0701" cy="4039097"/>
                    </a:xfrm>
                    <a:prstGeom prst="rect">
                      <a:avLst/>
                    </a:prstGeom>
                    <a:noFill/>
                  </pic:spPr>
                </pic:pic>
              </a:graphicData>
            </a:graphic>
          </wp:inline>
        </w:drawing>
      </w:r>
    </w:p>
    <w:p w14:paraId="2ECA41AA" w14:textId="7116AC24" w:rsidR="00835E5B" w:rsidRPr="00EB50AD" w:rsidRDefault="00835E5B" w:rsidP="00835E5B">
      <w:pPr>
        <w:pStyle w:val="BodyText"/>
        <w:rPr>
          <w:b/>
          <w:bCs/>
          <w:color w:val="EE0000"/>
          <w:lang w:eastAsia="zh-TW"/>
        </w:rPr>
      </w:pPr>
    </w:p>
    <w:p w14:paraId="4B9476E0" w14:textId="77777777" w:rsidR="00835E5B" w:rsidRDefault="00835E5B" w:rsidP="00835E5B">
      <w:pPr>
        <w:rPr>
          <w:rFonts w:eastAsiaTheme="minorHAnsi" w:cstheme="minorBidi"/>
          <w:b/>
          <w:bCs/>
          <w:kern w:val="18"/>
          <w:szCs w:val="18"/>
          <w:lang w:eastAsia="zh-TW"/>
        </w:rPr>
      </w:pPr>
    </w:p>
    <w:p w14:paraId="78349686" w14:textId="77777777" w:rsidR="00835E5B" w:rsidRDefault="00835E5B" w:rsidP="00835E5B">
      <w:pPr>
        <w:rPr>
          <w:rFonts w:eastAsiaTheme="minorHAnsi" w:cstheme="minorBidi"/>
          <w:b/>
          <w:bCs/>
          <w:kern w:val="18"/>
          <w:szCs w:val="18"/>
          <w:lang w:eastAsia="zh-TW"/>
        </w:rPr>
      </w:pPr>
    </w:p>
    <w:p w14:paraId="4E3FC348" w14:textId="77777777" w:rsidR="00F16672" w:rsidRDefault="00F16672" w:rsidP="000C34B5">
      <w:pPr>
        <w:pStyle w:val="BodyText"/>
        <w:sectPr w:rsidR="00F16672" w:rsidSect="00E57E3E">
          <w:pgSz w:w="16838" w:h="11906" w:orient="landscape"/>
          <w:pgMar w:top="1440" w:right="1134" w:bottom="1440" w:left="851" w:header="709" w:footer="284" w:gutter="0"/>
          <w:cols w:space="708"/>
          <w:docGrid w:linePitch="360"/>
        </w:sectPr>
      </w:pPr>
    </w:p>
    <w:p w14:paraId="1B294B00" w14:textId="77777777" w:rsidR="006D3BBC" w:rsidRPr="003C263A" w:rsidRDefault="00BB3A05" w:rsidP="000C34B5">
      <w:pPr>
        <w:pStyle w:val="BodyText"/>
        <w:rPr>
          <w:rFonts w:asciiTheme="majorHAnsi" w:hAnsiTheme="majorHAnsi"/>
        </w:rPr>
      </w:pPr>
      <w:r w:rsidRPr="003C263A">
        <w:rPr>
          <w:rFonts w:asciiTheme="majorHAnsi" w:hAnsiTheme="majorHAnsi"/>
        </w:rPr>
        <w:lastRenderedPageBreak/>
        <w:t>Asset Register</w:t>
      </w:r>
    </w:p>
    <w:p w14:paraId="07D35119" w14:textId="77777777" w:rsidR="006E2827" w:rsidRDefault="006E2827">
      <w:pPr>
        <w:pStyle w:val="BodyText"/>
        <w:rPr>
          <w:kern w:val="2"/>
          <w:szCs w:val="20"/>
          <w14:ligatures w14:val="standardContextual"/>
        </w:rPr>
      </w:pPr>
      <w:r>
        <w:t>The West Midlands region contains the largest amount of natural capital assets (both by canal length and habitat area). The North West, East Midlands, and Yorkshire &amp; North East regions contain the next largest amounts of natural capital assets, whilst the London &amp; South East and Wales &amp; South West regions contain the smallest quantities of natural capital assets.</w:t>
      </w:r>
    </w:p>
    <w:p w14:paraId="5BC94B85" w14:textId="77777777" w:rsidR="000631AD" w:rsidRDefault="000631AD">
      <w:pPr>
        <w:pStyle w:val="BodyText"/>
        <w:rPr>
          <w:kern w:val="2"/>
          <w:szCs w:val="20"/>
          <w14:ligatures w14:val="standardContextual"/>
        </w:rPr>
      </w:pPr>
      <w:bookmarkStart w:id="0" w:name="_Toc196395390"/>
      <w:bookmarkStart w:id="1" w:name="_Toc206522663"/>
      <w:r>
        <w:t>The extent of broad habitat type varies across regions, as evidenced by London &amp; South East containing a large proportion of lake (reservoirs and ponds) habitats (20%) compared with Wales &amp; South West (3%). As different habitat types contribute to different ecosystem services, this results in some regions providing proportionately more or less of an ecosystem service relative to their overall size. Please see Figure 5.</w:t>
      </w:r>
    </w:p>
    <w:p w14:paraId="5E2BE4F5" w14:textId="31F4D530" w:rsidR="000C34B5" w:rsidRPr="003C263A" w:rsidRDefault="00F16672" w:rsidP="000C34B5">
      <w:pPr>
        <w:pStyle w:val="Caption"/>
        <w:rPr>
          <w:rFonts w:asciiTheme="minorHAnsi" w:hAnsiTheme="minorHAnsi"/>
          <w:b/>
          <w:bCs/>
          <w:color w:val="auto"/>
        </w:rPr>
      </w:pPr>
      <w:r w:rsidRPr="003C263A">
        <w:rPr>
          <w:rFonts w:asciiTheme="minorHAnsi" w:hAnsiTheme="minorHAnsi"/>
          <w:b/>
          <w:bCs/>
          <w:color w:val="auto"/>
        </w:rPr>
        <w:t>Figure</w:t>
      </w:r>
      <w:r w:rsidR="00657AC4" w:rsidRPr="003C263A">
        <w:rPr>
          <w:rFonts w:asciiTheme="minorHAnsi" w:hAnsiTheme="minorHAnsi"/>
          <w:b/>
          <w:bCs/>
          <w:color w:val="auto"/>
        </w:rPr>
        <w:t xml:space="preserve"> </w:t>
      </w:r>
      <w:r w:rsidR="00DB4368">
        <w:rPr>
          <w:rFonts w:asciiTheme="minorHAnsi" w:hAnsiTheme="minorHAnsi"/>
          <w:b/>
          <w:bCs/>
          <w:color w:val="auto"/>
        </w:rPr>
        <w:t>5:</w:t>
      </w:r>
      <w:r w:rsidR="000C34B5" w:rsidRPr="003C263A">
        <w:rPr>
          <w:rFonts w:asciiTheme="minorHAnsi" w:hAnsiTheme="minorHAnsi"/>
          <w:b/>
          <w:bCs/>
          <w:color w:val="auto"/>
        </w:rPr>
        <w:t xml:space="preserve"> </w:t>
      </w:r>
      <w:r w:rsidR="00000A49">
        <w:rPr>
          <w:rFonts w:asciiTheme="minorHAnsi" w:hAnsiTheme="minorHAnsi"/>
          <w:b/>
          <w:bCs/>
          <w:color w:val="auto"/>
        </w:rPr>
        <w:t xml:space="preserve">Total habitat area (ha), total watercourse length (km) and </w:t>
      </w:r>
      <w:r w:rsidR="00FA64C7">
        <w:rPr>
          <w:rFonts w:asciiTheme="minorHAnsi" w:hAnsiTheme="minorHAnsi"/>
          <w:b/>
          <w:bCs/>
          <w:color w:val="auto"/>
        </w:rPr>
        <w:t>p</w:t>
      </w:r>
      <w:r w:rsidR="000C34B5" w:rsidRPr="003C263A">
        <w:rPr>
          <w:rFonts w:asciiTheme="minorHAnsi" w:hAnsiTheme="minorHAnsi"/>
          <w:b/>
          <w:bCs/>
          <w:color w:val="auto"/>
        </w:rPr>
        <w:t>roportion (%</w:t>
      </w:r>
      <w:r w:rsidR="0007395F" w:rsidRPr="0007395F">
        <w:rPr>
          <w:rFonts w:asciiTheme="minorHAnsi" w:hAnsiTheme="minorHAnsi"/>
          <w:b/>
          <w:bCs/>
          <w:color w:val="auto"/>
        </w:rPr>
        <w:t xml:space="preserve">) </w:t>
      </w:r>
      <w:r w:rsidR="00FA64C7">
        <w:rPr>
          <w:rFonts w:asciiTheme="minorHAnsi" w:hAnsiTheme="minorHAnsi"/>
          <w:b/>
          <w:bCs/>
          <w:color w:val="auto"/>
        </w:rPr>
        <w:t xml:space="preserve">of each habitat type </w:t>
      </w:r>
      <w:r w:rsidR="000C34B5" w:rsidRPr="003C263A">
        <w:rPr>
          <w:rFonts w:asciiTheme="minorHAnsi" w:hAnsiTheme="minorHAnsi"/>
          <w:b/>
          <w:bCs/>
          <w:color w:val="auto"/>
        </w:rPr>
        <w:t xml:space="preserve">by </w:t>
      </w:r>
      <w:bookmarkEnd w:id="0"/>
      <w:bookmarkEnd w:id="1"/>
      <w:r w:rsidR="00FA64C7">
        <w:rPr>
          <w:rFonts w:asciiTheme="minorHAnsi" w:hAnsiTheme="minorHAnsi"/>
          <w:b/>
          <w:bCs/>
          <w:color w:val="auto"/>
        </w:rPr>
        <w:t>region</w:t>
      </w:r>
      <w:r w:rsidR="000C34B5" w:rsidRPr="003C263A">
        <w:rPr>
          <w:rFonts w:asciiTheme="minorHAnsi" w:hAnsiTheme="minorHAnsi"/>
          <w:b/>
          <w:bCs/>
          <w:color w:val="auto"/>
        </w:rPr>
        <w:t xml:space="preserve"> </w:t>
      </w:r>
    </w:p>
    <w:p w14:paraId="202B37E1" w14:textId="669CF743" w:rsidR="00B31164" w:rsidRDefault="00FA64C7" w:rsidP="003C49AA">
      <w:pPr>
        <w:pStyle w:val="BodyText"/>
      </w:pPr>
      <w:r>
        <w:rPr>
          <w:noProof/>
        </w:rPr>
        <mc:AlternateContent>
          <mc:Choice Requires="wps">
            <w:drawing>
              <wp:anchor distT="0" distB="0" distL="114300" distR="114300" simplePos="0" relativeHeight="251658255" behindDoc="0" locked="0" layoutInCell="1" allowOverlap="1" wp14:anchorId="05357E85" wp14:editId="6D0BE874">
                <wp:simplePos x="0" y="0"/>
                <wp:positionH relativeFrom="column">
                  <wp:posOffset>749300</wp:posOffset>
                </wp:positionH>
                <wp:positionV relativeFrom="paragraph">
                  <wp:posOffset>5367020</wp:posOffset>
                </wp:positionV>
                <wp:extent cx="1847850" cy="303530"/>
                <wp:effectExtent l="0" t="0" r="0" b="1270"/>
                <wp:wrapNone/>
                <wp:docPr id="6734519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3530"/>
                        </a:xfrm>
                        <a:prstGeom prst="rect">
                          <a:avLst/>
                        </a:prstGeom>
                        <a:solidFill>
                          <a:schemeClr val="bg1"/>
                        </a:solidFill>
                        <a:ln w="9525">
                          <a:noFill/>
                          <a:miter lim="800000"/>
                          <a:headEnd/>
                          <a:tailEnd/>
                        </a:ln>
                      </wps:spPr>
                      <wps:txbx>
                        <w:txbxContent>
                          <w:p w14:paraId="6E9F5CEF" w14:textId="5F66FBE6"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7C0DA3">
                              <w:rPr>
                                <w:rFonts w:eastAsia="Arial" w:hAnsi="Modern Era"/>
                                <w:b/>
                                <w:bCs/>
                                <w:kern w:val="18"/>
                              </w:rPr>
                              <w:t>338</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05357E85" id="_x0000_s1030" type="#_x0000_t202" style="position:absolute;left:0;text-align:left;margin-left:59pt;margin-top:422.6pt;width:145.5pt;height:2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" fillcolor="white [3212]" stroked="f">
                <v:textbox inset="2.47803mm,1.239mm,2.47803mm,1.239mm">
                  <w:txbxContent>
                    <w:p w14:paraId="6E9F5CEF" w14:textId="5F66FBE6"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7C0DA3">
                        <w:rPr>
                          <w:rFonts w:eastAsia="Arial" w:hAnsi="Modern Era"/>
                          <w:b/>
                          <w:bCs/>
                          <w:kern w:val="18"/>
                        </w:rPr>
                        <w:t>338</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4B7152E" wp14:editId="6CE4CE84">
                <wp:simplePos x="0" y="0"/>
                <wp:positionH relativeFrom="column">
                  <wp:posOffset>742950</wp:posOffset>
                </wp:positionH>
                <wp:positionV relativeFrom="paragraph">
                  <wp:posOffset>4665345</wp:posOffset>
                </wp:positionV>
                <wp:extent cx="1841500" cy="303530"/>
                <wp:effectExtent l="0" t="0" r="6350" b="1270"/>
                <wp:wrapNone/>
                <wp:docPr id="17822178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03530"/>
                        </a:xfrm>
                        <a:prstGeom prst="rect">
                          <a:avLst/>
                        </a:prstGeom>
                        <a:solidFill>
                          <a:schemeClr val="bg1"/>
                        </a:solidFill>
                        <a:ln w="9525">
                          <a:noFill/>
                          <a:miter lim="800000"/>
                          <a:headEnd/>
                          <a:tailEnd/>
                        </a:ln>
                      </wps:spPr>
                      <wps:txbx>
                        <w:txbxContent>
                          <w:p w14:paraId="00313E52" w14:textId="38DACD91"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7C0DA3">
                              <w:rPr>
                                <w:rFonts w:eastAsia="Arial" w:hAnsi="Modern Era"/>
                                <w:b/>
                                <w:bCs/>
                                <w:kern w:val="18"/>
                              </w:rPr>
                              <w:t>834</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152E" id="_x0000_s1031" type="#_x0000_t202" style="position:absolute;left:0;text-align:left;margin-left:58.5pt;margin-top:367.35pt;width:145pt;height:23.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" fillcolor="white [3212]" stroked="f">
                <v:textbox inset="2.47803mm,1.239mm,2.47803mm,1.239mm">
                  <w:txbxContent>
                    <w:p w14:paraId="00313E52" w14:textId="38DACD91"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7C0DA3">
                        <w:rPr>
                          <w:rFonts w:eastAsia="Arial" w:hAnsi="Modern Era"/>
                          <w:b/>
                          <w:bCs/>
                          <w:kern w:val="18"/>
                        </w:rPr>
                        <w:t>834</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1217C9C0" wp14:editId="6372E5F2">
                <wp:simplePos x="0" y="0"/>
                <wp:positionH relativeFrom="column">
                  <wp:posOffset>742950</wp:posOffset>
                </wp:positionH>
                <wp:positionV relativeFrom="paragraph">
                  <wp:posOffset>3966845</wp:posOffset>
                </wp:positionV>
                <wp:extent cx="1841500" cy="303530"/>
                <wp:effectExtent l="0" t="0" r="6350" b="1270"/>
                <wp:wrapNone/>
                <wp:docPr id="18247723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03530"/>
                        </a:xfrm>
                        <a:prstGeom prst="rect">
                          <a:avLst/>
                        </a:prstGeom>
                        <a:solidFill>
                          <a:schemeClr val="bg1"/>
                        </a:solidFill>
                        <a:ln w="9525">
                          <a:noFill/>
                          <a:miter lim="800000"/>
                          <a:headEnd/>
                          <a:tailEnd/>
                        </a:ln>
                      </wps:spPr>
                      <wps:txbx>
                        <w:txbxContent>
                          <w:p w14:paraId="4C2749B4" w14:textId="376DA267"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292A77">
                              <w:rPr>
                                <w:rFonts w:eastAsia="Arial" w:hAnsi="Modern Era"/>
                                <w:b/>
                                <w:bCs/>
                                <w:kern w:val="18"/>
                              </w:rPr>
                              <w:t>578</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C9C0" id="_x0000_s1032" type="#_x0000_t202" style="position:absolute;left:0;text-align:left;margin-left:58.5pt;margin-top:312.35pt;width:145pt;height:2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" fillcolor="white [3212]" stroked="f">
                <v:textbox inset="2.47803mm,1.239mm,2.47803mm,1.239mm">
                  <w:txbxContent>
                    <w:p w14:paraId="4C2749B4" w14:textId="376DA267"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292A77">
                        <w:rPr>
                          <w:rFonts w:eastAsia="Arial" w:hAnsi="Modern Era"/>
                          <w:b/>
                          <w:bCs/>
                          <w:kern w:val="18"/>
                        </w:rPr>
                        <w:t>578</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31FAA413" wp14:editId="41A90126">
                <wp:simplePos x="0" y="0"/>
                <wp:positionH relativeFrom="column">
                  <wp:posOffset>736600</wp:posOffset>
                </wp:positionH>
                <wp:positionV relativeFrom="paragraph">
                  <wp:posOffset>3271520</wp:posOffset>
                </wp:positionV>
                <wp:extent cx="1822450" cy="303530"/>
                <wp:effectExtent l="0" t="0" r="6350" b="1270"/>
                <wp:wrapNone/>
                <wp:docPr id="2294624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03530"/>
                        </a:xfrm>
                        <a:prstGeom prst="rect">
                          <a:avLst/>
                        </a:prstGeom>
                        <a:solidFill>
                          <a:schemeClr val="bg1"/>
                        </a:solidFill>
                        <a:ln w="9525">
                          <a:noFill/>
                          <a:miter lim="800000"/>
                          <a:headEnd/>
                          <a:tailEnd/>
                        </a:ln>
                      </wps:spPr>
                      <wps:txbx>
                        <w:txbxContent>
                          <w:p w14:paraId="4450B8B7" w14:textId="7B6B6670"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292A77">
                              <w:rPr>
                                <w:rFonts w:eastAsia="Arial" w:hAnsi="Modern Era"/>
                                <w:b/>
                                <w:bCs/>
                                <w:kern w:val="18"/>
                              </w:rPr>
                              <w:t>479</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31FAA413" id="_x0000_s1033" type="#_x0000_t202" style="position:absolute;left:0;text-align:left;margin-left:58pt;margin-top:257.6pt;width:143.5pt;height:23.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" fillcolor="white [3212]" stroked="f">
                <v:textbox inset="2.47803mm,1.239mm,2.47803mm,1.239mm">
                  <w:txbxContent>
                    <w:p w14:paraId="4450B8B7" w14:textId="7B6B6670"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292A77">
                        <w:rPr>
                          <w:rFonts w:eastAsia="Arial" w:hAnsi="Modern Era"/>
                          <w:b/>
                          <w:bCs/>
                          <w:kern w:val="18"/>
                        </w:rPr>
                        <w:t>479</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4BB8C97C" wp14:editId="430C3317">
                <wp:simplePos x="0" y="0"/>
                <wp:positionH relativeFrom="column">
                  <wp:posOffset>768350</wp:posOffset>
                </wp:positionH>
                <wp:positionV relativeFrom="paragraph">
                  <wp:posOffset>2596515</wp:posOffset>
                </wp:positionV>
                <wp:extent cx="1803400" cy="276225"/>
                <wp:effectExtent l="0" t="0" r="6350" b="9525"/>
                <wp:wrapNone/>
                <wp:docPr id="2118301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76225"/>
                        </a:xfrm>
                        <a:prstGeom prst="rect">
                          <a:avLst/>
                        </a:prstGeom>
                        <a:solidFill>
                          <a:schemeClr val="bg1"/>
                        </a:solidFill>
                        <a:ln w="9525">
                          <a:noFill/>
                          <a:miter lim="800000"/>
                          <a:headEnd/>
                          <a:tailEnd/>
                        </a:ln>
                      </wps:spPr>
                      <wps:txbx>
                        <w:txbxContent>
                          <w:p w14:paraId="26E0A3E2" w14:textId="2B5A85B3"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667D3B">
                              <w:rPr>
                                <w:rFonts w:eastAsia="Arial" w:hAnsi="Modern Era"/>
                                <w:b/>
                                <w:bCs/>
                                <w:kern w:val="18"/>
                              </w:rPr>
                              <w:t>431</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C97C" id="_x0000_s1034" type="#_x0000_t202" style="position:absolute;left:0;text-align:left;margin-left:60.5pt;margin-top:204.45pt;width:142pt;height:2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" fillcolor="white [3212]" stroked="f">
                <v:textbox inset="2.47803mm,1.239mm,2.47803mm,1.239mm">
                  <w:txbxContent>
                    <w:p w14:paraId="26E0A3E2" w14:textId="2B5A85B3"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667D3B">
                        <w:rPr>
                          <w:rFonts w:eastAsia="Arial" w:hAnsi="Modern Era"/>
                          <w:b/>
                          <w:bCs/>
                          <w:kern w:val="18"/>
                        </w:rPr>
                        <w:t>431</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70F9B147" wp14:editId="1FD21A3F">
                <wp:simplePos x="0" y="0"/>
                <wp:positionH relativeFrom="column">
                  <wp:posOffset>742950</wp:posOffset>
                </wp:positionH>
                <wp:positionV relativeFrom="paragraph">
                  <wp:posOffset>1891665</wp:posOffset>
                </wp:positionV>
                <wp:extent cx="1822450" cy="276225"/>
                <wp:effectExtent l="0" t="0" r="6350" b="9525"/>
                <wp:wrapNone/>
                <wp:docPr id="16662723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6225"/>
                        </a:xfrm>
                        <a:prstGeom prst="rect">
                          <a:avLst/>
                        </a:prstGeom>
                        <a:solidFill>
                          <a:schemeClr val="bg1"/>
                        </a:solidFill>
                        <a:ln w="9525">
                          <a:noFill/>
                          <a:miter lim="800000"/>
                          <a:headEnd/>
                          <a:tailEnd/>
                        </a:ln>
                      </wps:spPr>
                      <wps:txbx>
                        <w:txbxContent>
                          <w:p w14:paraId="10BDFEDB" w14:textId="71FC0681" w:rsidR="00A523D0" w:rsidRDefault="00A523D0" w:rsidP="00A523D0">
                            <w:pPr>
                              <w:tabs>
                                <w:tab w:val="left" w:pos="284"/>
                              </w:tabs>
                              <w:spacing w:after="160"/>
                              <w:jc w:val="center"/>
                              <w:rPr>
                                <w:rFonts w:eastAsia="Arial" w:hAnsi="Modern Era"/>
                                <w:b/>
                                <w:bCs/>
                                <w:kern w:val="18"/>
                              </w:rPr>
                            </w:pPr>
                            <w:r>
                              <w:rPr>
                                <w:rFonts w:eastAsia="Arial" w:hAnsi="Modern Era"/>
                                <w:b/>
                                <w:bCs/>
                                <w:kern w:val="18"/>
                              </w:rPr>
                              <w:t xml:space="preserve">Watercourse length: </w:t>
                            </w:r>
                            <w:r w:rsidR="00CD1CA4">
                              <w:rPr>
                                <w:rFonts w:eastAsia="Arial" w:hAnsi="Modern Era"/>
                                <w:b/>
                                <w:bCs/>
                                <w:kern w:val="18"/>
                              </w:rPr>
                              <w:t>318</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B147" id="_x0000_s1035" type="#_x0000_t202" style="position:absolute;left:0;text-align:left;margin-left:58.5pt;margin-top:148.95pt;width:143.5pt;height:2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" fillcolor="white [3212]" stroked="f">
                <v:textbox inset="2.47803mm,1.239mm,2.47803mm,1.239mm">
                  <w:txbxContent>
                    <w:p w14:paraId="10BDFEDB" w14:textId="71FC0681" w:rsidR="00A523D0" w:rsidRDefault="00A523D0" w:rsidP="00A523D0">
                      <w:pPr>
                        <w:tabs>
                          <w:tab w:val="left" w:pos="284"/>
                        </w:tabs>
                        <w:spacing w:after="160"/>
                        <w:jc w:val="center"/>
                        <w:rPr>
                          <w:rFonts w:eastAsia="Arial" w:hAnsi="Modern Era"/>
                          <w:b/>
                          <w:bCs/>
                          <w:kern w:val="18"/>
                        </w:rPr>
                      </w:pPr>
                      <w:r>
                        <w:rPr>
                          <w:rFonts w:eastAsia="Arial" w:hAnsi="Modern Era"/>
                          <w:b/>
                          <w:bCs/>
                          <w:kern w:val="18"/>
                        </w:rPr>
                        <w:t xml:space="preserve">Watercourse length: </w:t>
                      </w:r>
                      <w:r w:rsidR="00CD1CA4">
                        <w:rPr>
                          <w:rFonts w:eastAsia="Arial" w:hAnsi="Modern Era"/>
                          <w:b/>
                          <w:bCs/>
                          <w:kern w:val="18"/>
                        </w:rPr>
                        <w:t>318</w:t>
                      </w:r>
                      <w:r>
                        <w:rPr>
                          <w:rFonts w:eastAsia="Arial" w:hAnsi="Modern Era"/>
                          <w:b/>
                          <w:bCs/>
                          <w:kern w:val="18"/>
                        </w:rPr>
                        <w:t>km</w:t>
                      </w:r>
                    </w:p>
                  </w:txbxContent>
                </v:textbox>
              </v:shape>
            </w:pict>
          </mc:Fallback>
        </mc:AlternateContent>
      </w:r>
      <w:r w:rsidR="002223C5">
        <w:rPr>
          <w:noProof/>
        </w:rPr>
        <mc:AlternateContent>
          <mc:Choice Requires="wps">
            <w:drawing>
              <wp:anchor distT="0" distB="0" distL="114300" distR="114300" simplePos="0" relativeHeight="251658250" behindDoc="0" locked="0" layoutInCell="1" allowOverlap="1" wp14:anchorId="48F6CA8C" wp14:editId="62586427">
                <wp:simplePos x="0" y="0"/>
                <wp:positionH relativeFrom="rightMargin">
                  <wp:posOffset>-815177</wp:posOffset>
                </wp:positionH>
                <wp:positionV relativeFrom="paragraph">
                  <wp:posOffset>5613400</wp:posOffset>
                </wp:positionV>
                <wp:extent cx="951197" cy="569742"/>
                <wp:effectExtent l="0" t="0" r="0" b="1905"/>
                <wp:wrapNone/>
                <wp:docPr id="883197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01D3DA07" w14:textId="6C92714E"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CD1CA4">
                              <w:rPr>
                                <w:rFonts w:eastAsia="Arial"/>
                                <w:b/>
                                <w:bCs/>
                                <w:kern w:val="18"/>
                              </w:rPr>
                              <w:t>1,198</w:t>
                            </w:r>
                            <w:r w:rsidRPr="00923BA3">
                              <w:rPr>
                                <w:rFonts w:eastAsia="Arial"/>
                                <w:b/>
                                <w:bCs/>
                                <w:kern w:val="18"/>
                              </w:rPr>
                              <w:t xml:space="preserve">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48F6CA8C" id="_x0000_s1036" type="#_x0000_t202" style="position:absolute;left:0;text-align:left;margin-left:-64.2pt;margin-top:442pt;width:74.9pt;height:44.85pt;z-index:25165825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I/AEAANQDAAAOAAAAZHJzL2Uyb0RvYy54bWysU8tu2zAQvBfoPxC815Jd27E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" filled="f" stroked="f">
                <v:textbox inset="2.47803mm,1.239mm,2.47803mm,1.239mm">
                  <w:txbxContent>
                    <w:p w14:paraId="01D3DA07" w14:textId="6C92714E"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CD1CA4">
                        <w:rPr>
                          <w:rFonts w:eastAsia="Arial"/>
                          <w:b/>
                          <w:bCs/>
                          <w:kern w:val="18"/>
                        </w:rPr>
                        <w:t>1,198</w:t>
                      </w:r>
                      <w:r w:rsidRPr="00923BA3">
                        <w:rPr>
                          <w:rFonts w:eastAsia="Arial"/>
                          <w:b/>
                          <w:bCs/>
                          <w:kern w:val="18"/>
                        </w:rPr>
                        <w:t xml:space="preserve"> hectares</w:t>
                      </w:r>
                    </w:p>
                  </w:txbxContent>
                </v:textbox>
                <w10:wrap anchorx="margin"/>
              </v:shape>
            </w:pict>
          </mc:Fallback>
        </mc:AlternateContent>
      </w:r>
      <w:r w:rsidR="002223C5">
        <w:rPr>
          <w:noProof/>
        </w:rPr>
        <mc:AlternateContent>
          <mc:Choice Requires="wps">
            <w:drawing>
              <wp:anchor distT="0" distB="0" distL="114300" distR="114300" simplePos="0" relativeHeight="251658249" behindDoc="0" locked="0" layoutInCell="1" allowOverlap="1" wp14:anchorId="734C894D" wp14:editId="07570281">
                <wp:simplePos x="0" y="0"/>
                <wp:positionH relativeFrom="rightMargin">
                  <wp:posOffset>-814705</wp:posOffset>
                </wp:positionH>
                <wp:positionV relativeFrom="paragraph">
                  <wp:posOffset>4915373</wp:posOffset>
                </wp:positionV>
                <wp:extent cx="951197" cy="569742"/>
                <wp:effectExtent l="0" t="0" r="0" b="1905"/>
                <wp:wrapNone/>
                <wp:docPr id="147808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0BAEC4A6" w14:textId="4911B3A6"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026D30">
                              <w:rPr>
                                <w:rFonts w:eastAsia="Arial"/>
                                <w:b/>
                                <w:bCs/>
                                <w:kern w:val="18"/>
                              </w:rPr>
                              <w:t>2</w:t>
                            </w:r>
                            <w:r w:rsidR="00CD1CA4">
                              <w:rPr>
                                <w:rFonts w:eastAsia="Arial"/>
                                <w:b/>
                                <w:bCs/>
                                <w:kern w:val="18"/>
                              </w:rPr>
                              <w:t>,726</w:t>
                            </w:r>
                            <w:r w:rsidRPr="00923BA3">
                              <w:rPr>
                                <w:rFonts w:eastAsia="Arial"/>
                                <w:b/>
                                <w:bCs/>
                                <w:kern w:val="18"/>
                              </w:rPr>
                              <w:t xml:space="preserve">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734C894D" id="_x0000_s1037" type="#_x0000_t202" style="position:absolute;left:0;text-align:left;margin-left:-64.15pt;margin-top:387.05pt;width:74.9pt;height:44.85pt;z-index:251658249;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" filled="f" stroked="f">
                <v:textbox inset="2.47803mm,1.239mm,2.47803mm,1.239mm">
                  <w:txbxContent>
                    <w:p w14:paraId="0BAEC4A6" w14:textId="4911B3A6"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026D30">
                        <w:rPr>
                          <w:rFonts w:eastAsia="Arial"/>
                          <w:b/>
                          <w:bCs/>
                          <w:kern w:val="18"/>
                        </w:rPr>
                        <w:t>2</w:t>
                      </w:r>
                      <w:r w:rsidR="00CD1CA4">
                        <w:rPr>
                          <w:rFonts w:eastAsia="Arial"/>
                          <w:b/>
                          <w:bCs/>
                          <w:kern w:val="18"/>
                        </w:rPr>
                        <w:t>,726</w:t>
                      </w:r>
                      <w:r w:rsidRPr="00923BA3">
                        <w:rPr>
                          <w:rFonts w:eastAsia="Arial"/>
                          <w:b/>
                          <w:bCs/>
                          <w:kern w:val="18"/>
                        </w:rPr>
                        <w:t xml:space="preserve"> hectares</w:t>
                      </w:r>
                    </w:p>
                  </w:txbxContent>
                </v:textbox>
                <w10:wrap anchorx="margin"/>
              </v:shape>
            </w:pict>
          </mc:Fallback>
        </mc:AlternateContent>
      </w:r>
      <w:r w:rsidR="002223C5">
        <w:rPr>
          <w:noProof/>
        </w:rPr>
        <mc:AlternateContent>
          <mc:Choice Requires="wps">
            <w:drawing>
              <wp:anchor distT="0" distB="0" distL="114300" distR="114300" simplePos="0" relativeHeight="251658248" behindDoc="0" locked="0" layoutInCell="1" allowOverlap="1" wp14:anchorId="4F11E2DB" wp14:editId="5A16A8A8">
                <wp:simplePos x="0" y="0"/>
                <wp:positionH relativeFrom="rightMargin">
                  <wp:posOffset>-825323</wp:posOffset>
                </wp:positionH>
                <wp:positionV relativeFrom="paragraph">
                  <wp:posOffset>4202903</wp:posOffset>
                </wp:positionV>
                <wp:extent cx="951197" cy="569742"/>
                <wp:effectExtent l="0" t="0" r="0" b="1905"/>
                <wp:wrapNone/>
                <wp:docPr id="694453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008AC5ED" w14:textId="4725B9F3"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026D30">
                              <w:rPr>
                                <w:rFonts w:eastAsia="Arial"/>
                                <w:b/>
                                <w:bCs/>
                                <w:kern w:val="18"/>
                              </w:rPr>
                              <w:t xml:space="preserve">2,056 </w:t>
                            </w:r>
                            <w:r w:rsidRPr="00923BA3">
                              <w:rPr>
                                <w:rFonts w:eastAsia="Arial"/>
                                <w:b/>
                                <w:bCs/>
                                <w:kern w:val="18"/>
                              </w:rPr>
                              <w:t>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4F11E2DB" id="_x0000_s1038" type="#_x0000_t202" style="position:absolute;left:0;text-align:left;margin-left:-65pt;margin-top:330.95pt;width:74.9pt;height:44.85pt;z-index:25165824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" filled="f" stroked="f">
                <v:textbox inset="2.47803mm,1.239mm,2.47803mm,1.239mm">
                  <w:txbxContent>
                    <w:p w14:paraId="008AC5ED" w14:textId="4725B9F3"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026D30">
                        <w:rPr>
                          <w:rFonts w:eastAsia="Arial"/>
                          <w:b/>
                          <w:bCs/>
                          <w:kern w:val="18"/>
                        </w:rPr>
                        <w:t xml:space="preserve">2,056 </w:t>
                      </w:r>
                      <w:r w:rsidRPr="00923BA3">
                        <w:rPr>
                          <w:rFonts w:eastAsia="Arial"/>
                          <w:b/>
                          <w:bCs/>
                          <w:kern w:val="18"/>
                        </w:rPr>
                        <w:t>hectares</w:t>
                      </w:r>
                    </w:p>
                  </w:txbxContent>
                </v:textbox>
                <w10:wrap anchorx="margin"/>
              </v:shape>
            </w:pict>
          </mc:Fallback>
        </mc:AlternateContent>
      </w:r>
      <w:r w:rsidR="002223C5">
        <w:rPr>
          <w:noProof/>
        </w:rPr>
        <mc:AlternateContent>
          <mc:Choice Requires="wps">
            <w:drawing>
              <wp:anchor distT="0" distB="0" distL="114300" distR="114300" simplePos="0" relativeHeight="251658247" behindDoc="0" locked="0" layoutInCell="1" allowOverlap="1" wp14:anchorId="24A29345" wp14:editId="6D88CAF1">
                <wp:simplePos x="0" y="0"/>
                <wp:positionH relativeFrom="rightMargin">
                  <wp:posOffset>-825500</wp:posOffset>
                </wp:positionH>
                <wp:positionV relativeFrom="paragraph">
                  <wp:posOffset>3479948</wp:posOffset>
                </wp:positionV>
                <wp:extent cx="951197" cy="569742"/>
                <wp:effectExtent l="0" t="0" r="0" b="1905"/>
                <wp:wrapNone/>
                <wp:docPr id="1494268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695AEB1F" w14:textId="0D5B8688"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1,992</w:t>
                            </w:r>
                            <w:r w:rsidRPr="00923BA3">
                              <w:rPr>
                                <w:rFonts w:eastAsia="Arial"/>
                                <w:b/>
                                <w:bCs/>
                                <w:kern w:val="18"/>
                              </w:rPr>
                              <w:t xml:space="preserve">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24A29345" id="_x0000_s1039" type="#_x0000_t202" style="position:absolute;left:0;text-align:left;margin-left:-65pt;margin-top:274pt;width:74.9pt;height:44.85pt;z-index:251658247;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" filled="f" stroked="f">
                <v:textbox inset="2.47803mm,1.239mm,2.47803mm,1.239mm">
                  <w:txbxContent>
                    <w:p w14:paraId="695AEB1F" w14:textId="0D5B8688"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1,992</w:t>
                      </w:r>
                      <w:r w:rsidRPr="00923BA3">
                        <w:rPr>
                          <w:rFonts w:eastAsia="Arial"/>
                          <w:b/>
                          <w:bCs/>
                          <w:kern w:val="18"/>
                        </w:rPr>
                        <w:t xml:space="preserve"> hectares</w:t>
                      </w:r>
                    </w:p>
                  </w:txbxContent>
                </v:textbox>
                <w10:wrap anchorx="margin"/>
              </v:shape>
            </w:pict>
          </mc:Fallback>
        </mc:AlternateContent>
      </w:r>
      <w:r w:rsidR="002223C5">
        <w:rPr>
          <w:noProof/>
        </w:rPr>
        <mc:AlternateContent>
          <mc:Choice Requires="wps">
            <w:drawing>
              <wp:anchor distT="0" distB="0" distL="114300" distR="114300" simplePos="0" relativeHeight="251658246" behindDoc="0" locked="0" layoutInCell="1" allowOverlap="1" wp14:anchorId="6B0C1A9D" wp14:editId="16F8495F">
                <wp:simplePos x="0" y="0"/>
                <wp:positionH relativeFrom="rightMargin">
                  <wp:posOffset>-825810</wp:posOffset>
                </wp:positionH>
                <wp:positionV relativeFrom="paragraph">
                  <wp:posOffset>2785110</wp:posOffset>
                </wp:positionV>
                <wp:extent cx="951197" cy="569742"/>
                <wp:effectExtent l="0" t="0" r="0" b="1905"/>
                <wp:wrapNone/>
                <wp:docPr id="346255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5D0ACC92" w14:textId="0B44CE6D"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 xml:space="preserve">1,973 </w:t>
                            </w:r>
                            <w:r w:rsidRPr="00923BA3">
                              <w:rPr>
                                <w:rFonts w:eastAsia="Arial"/>
                                <w:b/>
                                <w:bCs/>
                                <w:kern w:val="18"/>
                              </w:rPr>
                              <w:t>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6B0C1A9D" id="_x0000_s1040" type="#_x0000_t202" style="position:absolute;left:0;text-align:left;margin-left:-65pt;margin-top:219.3pt;width:74.9pt;height:44.85pt;z-index:25165824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Bn/QEAANQDAAAOAAAAZHJzL2Uyb0RvYy54bWysU8tu2zAQvBfoPxC815Jd27E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" filled="f" stroked="f">
                <v:textbox inset="2.47803mm,1.239mm,2.47803mm,1.239mm">
                  <w:txbxContent>
                    <w:p w14:paraId="5D0ACC92" w14:textId="0B44CE6D"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 xml:space="preserve">1,973 </w:t>
                      </w:r>
                      <w:r w:rsidRPr="00923BA3">
                        <w:rPr>
                          <w:rFonts w:eastAsia="Arial"/>
                          <w:b/>
                          <w:bCs/>
                          <w:kern w:val="18"/>
                        </w:rPr>
                        <w:t>hectares</w:t>
                      </w:r>
                    </w:p>
                  </w:txbxContent>
                </v:textbox>
                <w10:wrap anchorx="margin"/>
              </v:shape>
            </w:pict>
          </mc:Fallback>
        </mc:AlternateContent>
      </w:r>
      <w:r w:rsidR="00A523D0">
        <w:rPr>
          <w:noProof/>
        </w:rPr>
        <mc:AlternateContent>
          <mc:Choice Requires="wps">
            <w:drawing>
              <wp:anchor distT="0" distB="0" distL="114300" distR="114300" simplePos="0" relativeHeight="251658245" behindDoc="0" locked="0" layoutInCell="1" allowOverlap="1" wp14:anchorId="0FFEF506" wp14:editId="63DA5413">
                <wp:simplePos x="0" y="0"/>
                <wp:positionH relativeFrom="rightMargin">
                  <wp:posOffset>-850250</wp:posOffset>
                </wp:positionH>
                <wp:positionV relativeFrom="paragraph">
                  <wp:posOffset>2066054</wp:posOffset>
                </wp:positionV>
                <wp:extent cx="951197" cy="569742"/>
                <wp:effectExtent l="0" t="0" r="0" b="1905"/>
                <wp:wrapNone/>
                <wp:docPr id="286104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2B916135" w14:textId="69AFD5DB" w:rsidR="00A523D0" w:rsidRPr="00923BA3" w:rsidRDefault="00A523D0" w:rsidP="00A523D0">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1,135</w:t>
                            </w:r>
                            <w:r w:rsidRPr="00923BA3">
                              <w:rPr>
                                <w:rFonts w:eastAsia="Arial"/>
                                <w:b/>
                                <w:bCs/>
                                <w:kern w:val="18"/>
                              </w:rPr>
                              <w:t xml:space="preserve">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0FFEF506" id="_x0000_s1041" type="#_x0000_t202" style="position:absolute;left:0;text-align:left;margin-left:-66.95pt;margin-top:162.7pt;width:74.9pt;height:44.85pt;z-index:251658245;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6R/QEAANQDAAAOAAAAZHJzL2Uyb0RvYy54bWysU8tu2zAQvBfoPxC815Jd27E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" filled="f" stroked="f">
                <v:textbox inset="2.47803mm,1.239mm,2.47803mm,1.239mm">
                  <w:txbxContent>
                    <w:p w14:paraId="2B916135" w14:textId="69AFD5DB" w:rsidR="00A523D0" w:rsidRPr="00923BA3" w:rsidRDefault="00A523D0" w:rsidP="00A523D0">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1,135</w:t>
                      </w:r>
                      <w:r w:rsidRPr="00923BA3">
                        <w:rPr>
                          <w:rFonts w:eastAsia="Arial"/>
                          <w:b/>
                          <w:bCs/>
                          <w:kern w:val="18"/>
                        </w:rPr>
                        <w:t xml:space="preserve"> hectares</w:t>
                      </w:r>
                    </w:p>
                  </w:txbxContent>
                </v:textbox>
                <w10:wrap anchorx="margin"/>
              </v:shape>
            </w:pict>
          </mc:Fallback>
        </mc:AlternateContent>
      </w:r>
      <w:r w:rsidR="00876023">
        <w:rPr>
          <w:b/>
          <w:bCs/>
          <w:noProof/>
        </w:rPr>
        <w:drawing>
          <wp:inline distT="0" distB="0" distL="0" distR="0" wp14:anchorId="51DE53B6" wp14:editId="33532FB5">
            <wp:extent cx="5702279" cy="6408000"/>
            <wp:effectExtent l="0" t="0" r="0" b="0"/>
            <wp:docPr id="197138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279" cy="6408000"/>
                    </a:xfrm>
                    <a:prstGeom prst="rect">
                      <a:avLst/>
                    </a:prstGeom>
                    <a:noFill/>
                  </pic:spPr>
                </pic:pic>
              </a:graphicData>
            </a:graphic>
          </wp:inline>
        </w:drawing>
      </w:r>
    </w:p>
    <w:p w14:paraId="3FED8442" w14:textId="77777777" w:rsidR="00B421B2" w:rsidRPr="00F16672" w:rsidRDefault="00B421B2" w:rsidP="004D0C9A">
      <w:pPr>
        <w:pStyle w:val="BodyText"/>
        <w:sectPr w:rsidR="00B421B2" w:rsidRPr="00F16672" w:rsidSect="003C263A">
          <w:pgSz w:w="11906" w:h="16838"/>
          <w:pgMar w:top="1134" w:right="1440" w:bottom="851" w:left="1440" w:header="709" w:footer="284" w:gutter="0"/>
          <w:cols w:space="708"/>
          <w:docGrid w:linePitch="360"/>
        </w:sectPr>
      </w:pPr>
    </w:p>
    <w:p w14:paraId="03C8B216" w14:textId="77777777" w:rsidR="006E2827" w:rsidRDefault="006E2827">
      <w:pPr>
        <w:pStyle w:val="BodyText"/>
        <w:rPr>
          <w:kern w:val="2"/>
          <w:szCs w:val="20"/>
          <w14:ligatures w14:val="standardContextual"/>
        </w:rPr>
      </w:pPr>
      <w:r>
        <w:lastRenderedPageBreak/>
        <w:t>The condition of habitats varies significantly between Trust regions. In Yorkshire &amp; North East, around 6% of land habitats are in ‘Good’ or ‘Moderate’ condition, whereas in the North West region, 40% are in ‘Good’ or ‘Moderate’ condition (see Figure 6).</w:t>
      </w:r>
    </w:p>
    <w:p w14:paraId="4C66CC4B" w14:textId="1F30906C" w:rsidR="008305E4" w:rsidRDefault="008305E4" w:rsidP="004D0C9A">
      <w:pPr>
        <w:pStyle w:val="BodyText"/>
      </w:pPr>
      <w:r w:rsidRPr="0078362E">
        <w:t xml:space="preserve">The </w:t>
      </w:r>
      <w:r w:rsidR="003F5319">
        <w:t>WFD</w:t>
      </w:r>
      <w:r w:rsidRPr="0078362E">
        <w:t xml:space="preserve"> ecological classification of canals shows that the average condition of waterbodies </w:t>
      </w:r>
      <w:r w:rsidR="00FE7EAD">
        <w:t>also</w:t>
      </w:r>
      <w:r w:rsidRPr="0078362E">
        <w:t xml:space="preserve"> differs significantly by region.</w:t>
      </w:r>
      <w:r>
        <w:t xml:space="preserve"> T</w:t>
      </w:r>
      <w:r w:rsidRPr="0078362E">
        <w:t xml:space="preserve">he ecological condition of waterbodies is significantly higher in the West Midlands region and in the Yorkshire &amp; North East region </w:t>
      </w:r>
      <w:r w:rsidR="001D495E">
        <w:t xml:space="preserve">where </w:t>
      </w:r>
      <w:r w:rsidR="00B44133">
        <w:t>79</w:t>
      </w:r>
      <w:r w:rsidR="001D495E" w:rsidRPr="0078362E">
        <w:t>%</w:t>
      </w:r>
      <w:r w:rsidRPr="0078362E">
        <w:t xml:space="preserve"> </w:t>
      </w:r>
      <w:r w:rsidR="00DF20A4">
        <w:t xml:space="preserve">and </w:t>
      </w:r>
      <w:r w:rsidR="007C2B6D">
        <w:t>55</w:t>
      </w:r>
      <w:r w:rsidRPr="0078362E">
        <w:t>%</w:t>
      </w:r>
      <w:r>
        <w:t xml:space="preserve"> are in ‘Good’ ecological condition</w:t>
      </w:r>
      <w:r w:rsidDel="00D95F6B">
        <w:t xml:space="preserve"> </w:t>
      </w:r>
      <w:r w:rsidR="001F3D1F">
        <w:t xml:space="preserve">respectively. </w:t>
      </w:r>
      <w:r w:rsidR="00716404">
        <w:t xml:space="preserve">In contrast, </w:t>
      </w:r>
      <w:r>
        <w:t>o</w:t>
      </w:r>
      <w:r w:rsidRPr="0078362E">
        <w:t xml:space="preserve">nly </w:t>
      </w:r>
      <w:r w:rsidR="00706F3A">
        <w:t>6</w:t>
      </w:r>
      <w:r w:rsidRPr="0078362E">
        <w:t xml:space="preserve">% of canals in the North West region </w:t>
      </w:r>
      <w:r w:rsidR="00B83F1B">
        <w:t>a</w:t>
      </w:r>
      <w:r w:rsidRPr="0078362E">
        <w:t xml:space="preserve">nd only </w:t>
      </w:r>
      <w:r w:rsidR="00BE3147">
        <w:t>5</w:t>
      </w:r>
      <w:r w:rsidRPr="0078362E">
        <w:t>% in the Wales &amp; South West region</w:t>
      </w:r>
      <w:r w:rsidR="00B83F1B">
        <w:t xml:space="preserve"> </w:t>
      </w:r>
      <w:r w:rsidR="00567C0A">
        <w:t xml:space="preserve">are </w:t>
      </w:r>
      <w:r w:rsidR="00E8023A">
        <w:t>in</w:t>
      </w:r>
      <w:r w:rsidR="00567C0A">
        <w:t xml:space="preserve"> </w:t>
      </w:r>
      <w:r w:rsidR="00E8023A">
        <w:t>‘Good’ ecological condition</w:t>
      </w:r>
      <w:r w:rsidR="00B83F1B">
        <w:t xml:space="preserve"> (see Figure 7)</w:t>
      </w:r>
      <w:r w:rsidRPr="0078362E">
        <w:t>.</w:t>
      </w:r>
      <w:r w:rsidR="00AF4C6D">
        <w:t xml:space="preserve"> </w:t>
      </w:r>
      <w:r w:rsidR="00AF4C6D" w:rsidRPr="00AF4C6D">
        <w:t xml:space="preserve">Note, data for ecological condition </w:t>
      </w:r>
      <w:r w:rsidR="00AF4C6D">
        <w:t>is</w:t>
      </w:r>
      <w:r w:rsidR="00AF4C6D" w:rsidRPr="00AF4C6D">
        <w:t xml:space="preserve"> only available </w:t>
      </w:r>
      <w:r w:rsidR="00AF4C6D">
        <w:t xml:space="preserve">for England, </w:t>
      </w:r>
      <w:r w:rsidR="00AF4C6D" w:rsidRPr="00AF4C6D">
        <w:t>Welsh waterbodies were not assessed for ecological condition.</w:t>
      </w:r>
    </w:p>
    <w:p w14:paraId="1C30367F" w14:textId="09EEF293" w:rsidR="00B20ABB" w:rsidRPr="003C263A" w:rsidRDefault="00B20ABB" w:rsidP="003C263A">
      <w:pPr>
        <w:pStyle w:val="BodyText"/>
        <w:rPr>
          <w:b/>
          <w:bCs/>
        </w:rPr>
      </w:pPr>
      <w:bookmarkStart w:id="2" w:name="_Ref195012825"/>
      <w:bookmarkStart w:id="3" w:name="_Toc206522639"/>
      <w:r>
        <w:rPr>
          <w:b/>
          <w:bCs/>
          <w:lang w:eastAsia="zh-TW"/>
        </w:rPr>
        <w:t xml:space="preserve">Figure </w:t>
      </w:r>
      <w:r w:rsidR="009E4635">
        <w:rPr>
          <w:b/>
          <w:bCs/>
          <w:lang w:eastAsia="zh-TW"/>
        </w:rPr>
        <w:t>6</w:t>
      </w:r>
      <w:r w:rsidRPr="004E3746">
        <w:rPr>
          <w:b/>
          <w:bCs/>
          <w:lang w:eastAsia="zh-TW"/>
        </w:rPr>
        <w:t xml:space="preserve">: </w:t>
      </w:r>
      <w:r>
        <w:rPr>
          <w:b/>
          <w:bCs/>
        </w:rPr>
        <w:t xml:space="preserve">Summary of condition of </w:t>
      </w:r>
      <w:r w:rsidR="00641C5A">
        <w:rPr>
          <w:b/>
          <w:bCs/>
        </w:rPr>
        <w:t>land habitats</w:t>
      </w:r>
      <w:r>
        <w:rPr>
          <w:b/>
          <w:bCs/>
        </w:rPr>
        <w:t xml:space="preserve"> managed by the Trust in 2023</w:t>
      </w:r>
      <w:r w:rsidR="00245957">
        <w:rPr>
          <w:b/>
          <w:bCs/>
        </w:rPr>
        <w:t>,</w:t>
      </w:r>
      <w:r w:rsidR="00641C5A">
        <w:rPr>
          <w:b/>
          <w:bCs/>
        </w:rPr>
        <w:t xml:space="preserve"> measured </w:t>
      </w:r>
      <w:r>
        <w:rPr>
          <w:b/>
          <w:bCs/>
        </w:rPr>
        <w:t>using the Defra Biodiversity metric</w:t>
      </w:r>
    </w:p>
    <w:bookmarkEnd w:id="2"/>
    <w:bookmarkEnd w:id="3"/>
    <w:p w14:paraId="790C5AE6" w14:textId="48AC9E39" w:rsidR="00F11271" w:rsidRDefault="000E5D80" w:rsidP="003C263A">
      <w:pPr>
        <w:rPr>
          <w:lang w:eastAsia="zh-TW"/>
        </w:rPr>
      </w:pPr>
      <w:r>
        <w:rPr>
          <w:noProof/>
          <w:lang w:eastAsia="zh-TW"/>
        </w:rPr>
        <w:drawing>
          <wp:inline distT="0" distB="0" distL="0" distR="0" wp14:anchorId="17FD7E65" wp14:editId="2CA2FDEA">
            <wp:extent cx="5761355" cy="2883535"/>
            <wp:effectExtent l="0" t="0" r="0" b="0"/>
            <wp:docPr id="878216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p w14:paraId="5EDBB60F" w14:textId="48FA327E" w:rsidR="00245957" w:rsidRDefault="00245957" w:rsidP="00245957">
      <w:pPr>
        <w:pStyle w:val="BodyText"/>
        <w:rPr>
          <w:b/>
          <w:bCs/>
        </w:rPr>
      </w:pPr>
      <w:r>
        <w:rPr>
          <w:b/>
          <w:bCs/>
          <w:lang w:eastAsia="zh-TW"/>
        </w:rPr>
        <w:t xml:space="preserve">Figure </w:t>
      </w:r>
      <w:r w:rsidR="009E4635">
        <w:rPr>
          <w:b/>
          <w:bCs/>
          <w:lang w:eastAsia="zh-TW"/>
        </w:rPr>
        <w:t>7</w:t>
      </w:r>
      <w:r w:rsidRPr="004E3746">
        <w:rPr>
          <w:b/>
          <w:bCs/>
          <w:lang w:eastAsia="zh-TW"/>
        </w:rPr>
        <w:t xml:space="preserve">: </w:t>
      </w:r>
      <w:r>
        <w:rPr>
          <w:b/>
          <w:bCs/>
        </w:rPr>
        <w:t xml:space="preserve">Summary of condition of watercourses managed by the Trust in 2023, measured using Water Framework Directive (WFD) </w:t>
      </w:r>
      <w:r w:rsidR="00C2005A">
        <w:rPr>
          <w:b/>
          <w:bCs/>
        </w:rPr>
        <w:t>Ecological Class</w:t>
      </w:r>
      <w:r>
        <w:rPr>
          <w:b/>
          <w:bCs/>
        </w:rPr>
        <w:t xml:space="preserve">. </w:t>
      </w:r>
    </w:p>
    <w:p w14:paraId="43FAD1A9" w14:textId="0E622B35" w:rsidR="00341E4A" w:rsidRDefault="00341E4A" w:rsidP="00245957">
      <w:pPr>
        <w:pStyle w:val="BodyText"/>
        <w:rPr>
          <w:b/>
          <w:bCs/>
        </w:rPr>
      </w:pPr>
      <w:r>
        <w:rPr>
          <w:b/>
          <w:bCs/>
          <w:noProof/>
        </w:rPr>
        <w:drawing>
          <wp:inline distT="0" distB="0" distL="0" distR="0" wp14:anchorId="6FDF7C2F" wp14:editId="6994D953">
            <wp:extent cx="5761355" cy="2865120"/>
            <wp:effectExtent l="0" t="0" r="0" b="0"/>
            <wp:docPr id="1527559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865120"/>
                    </a:xfrm>
                    <a:prstGeom prst="rect">
                      <a:avLst/>
                    </a:prstGeom>
                    <a:noFill/>
                  </pic:spPr>
                </pic:pic>
              </a:graphicData>
            </a:graphic>
          </wp:inline>
        </w:drawing>
      </w:r>
    </w:p>
    <w:p w14:paraId="62F29374" w14:textId="1C398EF5" w:rsidR="00726F51" w:rsidRPr="001A2375" w:rsidRDefault="00726F51" w:rsidP="00F526BC"/>
    <w:p w14:paraId="6FEACE71" w14:textId="213ED5A3" w:rsidR="00A73BC2" w:rsidRPr="00A14860" w:rsidRDefault="00A73BC2" w:rsidP="00A73BC2">
      <w:pPr>
        <w:pStyle w:val="BodyText"/>
        <w:spacing w:after="0"/>
      </w:pPr>
    </w:p>
    <w:p w14:paraId="74A0DE09" w14:textId="3399D1B5" w:rsidR="00FB49B7" w:rsidRPr="00E50A44" w:rsidRDefault="00FB49B7" w:rsidP="003C263A">
      <w:pPr>
        <w:pStyle w:val="BodyText"/>
        <w:sectPr w:rsidR="00FB49B7" w:rsidRPr="00E50A44" w:rsidSect="003C263A">
          <w:pgSz w:w="11906" w:h="16838"/>
          <w:pgMar w:top="1134" w:right="1440" w:bottom="851" w:left="1440" w:header="709" w:footer="284" w:gutter="0"/>
          <w:cols w:space="708"/>
          <w:docGrid w:linePitch="360"/>
        </w:sectPr>
      </w:pPr>
    </w:p>
    <w:p w14:paraId="7CDA00BA" w14:textId="632FCA95" w:rsidR="005F2FFE" w:rsidRDefault="005F2FFE" w:rsidP="005F2FFE">
      <w:pPr>
        <w:pStyle w:val="BodyText"/>
        <w:sectPr w:rsidR="005F2FFE" w:rsidSect="00704DFA">
          <w:pgSz w:w="11906" w:h="16838"/>
          <w:pgMar w:top="1134" w:right="1440" w:bottom="851" w:left="1440" w:header="709" w:footer="284" w:gutter="0"/>
          <w:cols w:space="708"/>
          <w:docGrid w:linePitch="360"/>
        </w:sectPr>
      </w:pPr>
    </w:p>
    <w:p w14:paraId="38F6BB5C" w14:textId="51994602" w:rsidR="00876C5F" w:rsidRDefault="001C58EF" w:rsidP="00A35AA1">
      <w:pPr>
        <w:pStyle w:val="Heading1"/>
      </w:pPr>
      <w:r>
        <w:t>References</w:t>
      </w:r>
    </w:p>
    <w:p w14:paraId="11A3D262" w14:textId="77777777" w:rsidR="00B678DA" w:rsidRDefault="00B678DA" w:rsidP="00270EF6">
      <w:r>
        <w:t xml:space="preserve">Canal &amp; River Trust (2025). </w:t>
      </w:r>
      <w:r w:rsidRPr="00E90D71">
        <w:rPr>
          <w:i/>
          <w:iCs/>
        </w:rPr>
        <w:t>The Vital Connector for Nature and People: The Role of our Canal Network in UK Nature Recovery and Connectedness</w:t>
      </w:r>
      <w:r>
        <w:t xml:space="preserve">. Available at: </w:t>
      </w:r>
      <w:hyperlink r:id="rId22" w:history="1">
        <w:r w:rsidRPr="00963A6C">
          <w:rPr>
            <w:rStyle w:val="Hyperlink"/>
          </w:rPr>
          <w:t>https://canalrivertrust.org.uk/our-cause/the-vital-connector-for-nature-and-people-report</w:t>
        </w:r>
      </w:hyperlink>
      <w:r>
        <w:t xml:space="preserve"> </w:t>
      </w:r>
    </w:p>
    <w:p w14:paraId="54CDBB43" w14:textId="77777777" w:rsidR="00267D1F" w:rsidRDefault="00267D1F" w:rsidP="00270EF6">
      <w:pPr>
        <w:rPr>
          <w:kern w:val="2"/>
          <w14:ligatures w14:val="standardContextual"/>
        </w:rPr>
      </w:pPr>
      <w:r>
        <w:t xml:space="preserve">CEFAS (2021). </w:t>
      </w:r>
      <w:r>
        <w:rPr>
          <w:i/>
          <w:iCs/>
        </w:rPr>
        <w:t>Carbon stocks and accumulation analysis for Secretary of State (SoS) region: Cefas Project Report for Defra</w:t>
      </w:r>
      <w:r>
        <w:t xml:space="preserve">, 42 pp. Available at: </w:t>
      </w:r>
      <w:hyperlink r:id="rId23" w:history="1">
        <w:r>
          <w:rPr>
            <w:rStyle w:val="Hyperlink"/>
          </w:rPr>
          <w:t>https://randd.defra.gov.uk/ProjectDetails?ProjectId=20754</w:t>
        </w:r>
      </w:hyperlink>
    </w:p>
    <w:p w14:paraId="3414878D" w14:textId="0EEB3547" w:rsidR="00F44E00" w:rsidRDefault="00F44E00" w:rsidP="00270EF6">
      <w:r>
        <w:t xml:space="preserve">Costa, H., Floater, G., Hooyberghs, H., Verbeke, S. and De Ridder, K., (2016). </w:t>
      </w:r>
      <w:r w:rsidRPr="000F2FD4">
        <w:rPr>
          <w:i/>
          <w:iCs/>
        </w:rPr>
        <w:t>Climate change, heat stress and labour productivity: A cost methodology for city economies</w:t>
      </w:r>
      <w:r>
        <w:t xml:space="preserve">. </w:t>
      </w:r>
      <w:r w:rsidRPr="00E85BC2">
        <w:t>Centre for Climate Change Economics and Policy Working Paper No. 278</w:t>
      </w:r>
      <w:r>
        <w:t xml:space="preserve">. </w:t>
      </w:r>
      <w:r w:rsidRPr="00E85BC2">
        <w:t>Grantham Research Institute on Climate Change and the Environment Working Paper No. 248</w:t>
      </w:r>
      <w:r>
        <w:t xml:space="preserve">. Available at: </w:t>
      </w:r>
      <w:hyperlink r:id="rId24" w:history="1">
        <w:r w:rsidRPr="00963A6C">
          <w:rPr>
            <w:rStyle w:val="Hyperlink"/>
          </w:rPr>
          <w:t>https://www.cccep.ac.uk/wp-content/uploads/2016/07/Working-Paper-248-Costa-et-al.pdf</w:t>
        </w:r>
      </w:hyperlink>
      <w:r>
        <w:t xml:space="preserve"> </w:t>
      </w:r>
    </w:p>
    <w:p w14:paraId="2DD2BC5B" w14:textId="1C23494A" w:rsidR="00565651" w:rsidRDefault="00565651" w:rsidP="00270EF6">
      <w:r>
        <w:t xml:space="preserve">Defra (2023). </w:t>
      </w:r>
      <w:r w:rsidRPr="00B678DA">
        <w:rPr>
          <w:i/>
          <w:iCs/>
        </w:rPr>
        <w:t>Enabling a Natural Capital Approach (ENCA)</w:t>
      </w:r>
      <w:r>
        <w:t xml:space="preserve">. Available at: </w:t>
      </w:r>
      <w:hyperlink r:id="rId25" w:history="1">
        <w:r w:rsidRPr="006F5D94">
          <w:rPr>
            <w:rStyle w:val="Hyperlink"/>
          </w:rPr>
          <w:t>https://www.gov.uk/guidance/enabling-a-natural-capital-approach-enca</w:t>
        </w:r>
      </w:hyperlink>
      <w:r>
        <w:t xml:space="preserve"> </w:t>
      </w:r>
    </w:p>
    <w:p w14:paraId="021A6EF1" w14:textId="77777777" w:rsidR="00B678DA" w:rsidRDefault="00B678DA" w:rsidP="00270EF6">
      <w:r w:rsidRPr="00CF117A">
        <w:t>DESNZ and BEIS (2024)</w:t>
      </w:r>
      <w:r>
        <w:t xml:space="preserve">. </w:t>
      </w:r>
      <w:r w:rsidRPr="000F2FD4">
        <w:rPr>
          <w:i/>
          <w:iCs/>
        </w:rPr>
        <w:t>Traded carbon values used for modelling purposes, 2023</w:t>
      </w:r>
      <w:r>
        <w:t xml:space="preserve">. Available at: </w:t>
      </w:r>
      <w:hyperlink r:id="rId26" w:history="1">
        <w:r w:rsidRPr="00963A6C">
          <w:rPr>
            <w:rStyle w:val="Hyperlink"/>
          </w:rPr>
          <w:t>https://www.gov.uk/government/publications/traded-carbon-values-used-for-modelling-purposes-2023/traded-carbon-values-used-for-modelling-purposes-2023</w:t>
        </w:r>
      </w:hyperlink>
      <w:r>
        <w:t xml:space="preserve"> </w:t>
      </w:r>
    </w:p>
    <w:p w14:paraId="4B1EBE42" w14:textId="77777777" w:rsidR="00B678DA" w:rsidRDefault="00B678DA" w:rsidP="00270EF6">
      <w:r>
        <w:t xml:space="preserve">Eftec (2018). </w:t>
      </w:r>
      <w:r w:rsidRPr="000F2FD4">
        <w:rPr>
          <w:i/>
          <w:iCs/>
        </w:rPr>
        <w:t>Scoping UK urban natural capital account - local climate regulation extension</w:t>
      </w:r>
      <w:r>
        <w:t xml:space="preserve">. Available at: </w:t>
      </w:r>
      <w:hyperlink r:id="rId27" w:history="1">
        <w:r w:rsidRPr="00963A6C">
          <w:rPr>
            <w:rStyle w:val="Hyperlink"/>
          </w:rPr>
          <w:t>https://randd.defra.gov.uk/ProjectDetails?ProjectID=20065&amp;FromSearch=Y&amp;Publisher=1&amp;SearchText=urban</w:t>
        </w:r>
      </w:hyperlink>
    </w:p>
    <w:p w14:paraId="12C63775" w14:textId="77777777" w:rsidR="00267D1F" w:rsidRDefault="00267D1F" w:rsidP="00270EF6">
      <w:pPr>
        <w:rPr>
          <w:kern w:val="2"/>
          <w14:ligatures w14:val="standardContextual"/>
        </w:rPr>
      </w:pPr>
      <w:r>
        <w:t xml:space="preserve">Ferrini, S., Reas, V., Bartolini, A., Ekins, P., and Grice, J. (2025). </w:t>
      </w:r>
      <w:r>
        <w:rPr>
          <w:i/>
          <w:iCs/>
        </w:rPr>
        <w:t>Economic Methods for Water Ecosystem Services for SEEA EA</w:t>
      </w:r>
      <w:r>
        <w:t>. ESCoE Discussion Paper No. 2025-06.</w:t>
      </w:r>
    </w:p>
    <w:p w14:paraId="64E4636C" w14:textId="28C71A26" w:rsidR="00F44E00" w:rsidRDefault="00F44E00" w:rsidP="00270EF6">
      <w:r w:rsidRPr="00CF0C2F">
        <w:t xml:space="preserve">Gibbons, </w:t>
      </w:r>
      <w:r>
        <w:t>S.</w:t>
      </w:r>
      <w:r w:rsidRPr="00CF0C2F">
        <w:t xml:space="preserve">, Peng, </w:t>
      </w:r>
      <w:r>
        <w:t>C.</w:t>
      </w:r>
      <w:r w:rsidRPr="00CF0C2F">
        <w:t xml:space="preserve"> &amp; Tang, </w:t>
      </w:r>
      <w:r>
        <w:t xml:space="preserve">C.K. </w:t>
      </w:r>
      <w:r w:rsidRPr="00CF0C2F">
        <w:t>(2021)</w:t>
      </w:r>
      <w:r>
        <w:t>.</w:t>
      </w:r>
      <w:r w:rsidRPr="00CF0C2F">
        <w:t xml:space="preserve"> </w:t>
      </w:r>
      <w:r w:rsidRPr="000F2FD4">
        <w:rPr>
          <w:i/>
          <w:iCs/>
        </w:rPr>
        <w:t>Valuing the environmental benefits of canals and canal restoration using house prices</w:t>
      </w:r>
      <w:r w:rsidRPr="00CF0C2F">
        <w:t xml:space="preserve">. Land Economics, 97(4), 858- 874. </w:t>
      </w:r>
      <w:r>
        <w:t xml:space="preserve">Available at: </w:t>
      </w:r>
      <w:hyperlink r:id="rId28" w:history="1">
        <w:r w:rsidRPr="00963A6C">
          <w:rPr>
            <w:rStyle w:val="Hyperlink"/>
          </w:rPr>
          <w:t>https://researchonline.lse.ac.uk/id/eprint/107931/1/Gibbons_Valuing_environmental_benefits_canals_2021.pdf</w:t>
        </w:r>
      </w:hyperlink>
    </w:p>
    <w:p w14:paraId="7575D858" w14:textId="77777777" w:rsidR="00B678DA" w:rsidRDefault="00B678DA" w:rsidP="00270EF6">
      <w:r w:rsidRPr="00793B44">
        <w:t xml:space="preserve">Jones, </w:t>
      </w:r>
      <w:r>
        <w:t>L.,</w:t>
      </w:r>
      <w:r w:rsidRPr="00793B44">
        <w:t xml:space="preserve"> Vieno, </w:t>
      </w:r>
      <w:r>
        <w:t>M.,</w:t>
      </w:r>
      <w:r w:rsidRPr="00793B44">
        <w:t> Morton,</w:t>
      </w:r>
      <w:r>
        <w:t xml:space="preserve"> D.,</w:t>
      </w:r>
      <w:r w:rsidRPr="00793B44">
        <w:t> Hall,</w:t>
      </w:r>
      <w:r>
        <w:t xml:space="preserve"> J.,</w:t>
      </w:r>
      <w:r w:rsidRPr="00793B44">
        <w:t> Carnell,</w:t>
      </w:r>
      <w:r>
        <w:t xml:space="preserve"> E.,</w:t>
      </w:r>
      <w:r w:rsidRPr="00793B44">
        <w:t> Nemitz,</w:t>
      </w:r>
      <w:r>
        <w:t xml:space="preserve"> E.,</w:t>
      </w:r>
      <w:r w:rsidRPr="00793B44">
        <w:t> Beck,</w:t>
      </w:r>
      <w:r>
        <w:t xml:space="preserve"> R.,</w:t>
      </w:r>
      <w:r w:rsidRPr="00793B44">
        <w:t> Reis,</w:t>
      </w:r>
      <w:r>
        <w:t xml:space="preserve"> S.,</w:t>
      </w:r>
      <w:r w:rsidRPr="00793B44">
        <w:t> Pritchard,</w:t>
      </w:r>
      <w:r>
        <w:t xml:space="preserve"> N.,</w:t>
      </w:r>
      <w:r w:rsidRPr="00793B44">
        <w:t> Hayes,</w:t>
      </w:r>
      <w:r>
        <w:t xml:space="preserve"> F.,</w:t>
      </w:r>
      <w:r w:rsidRPr="00793B44">
        <w:t> Mills,</w:t>
      </w:r>
      <w:r>
        <w:t xml:space="preserve"> G.,</w:t>
      </w:r>
      <w:r w:rsidRPr="00793B44">
        <w:t xml:space="preserve"> Cryle, </w:t>
      </w:r>
      <w:r>
        <w:t>P.,</w:t>
      </w:r>
      <w:r w:rsidRPr="00793B44">
        <w:t> Dickie,</w:t>
      </w:r>
      <w:r>
        <w:t xml:space="preserve"> I.,</w:t>
      </w:r>
      <w:r w:rsidRPr="00793B44">
        <w:t> Koshy,</w:t>
      </w:r>
      <w:r>
        <w:t xml:space="preserve"> A.,</w:t>
      </w:r>
      <w:r w:rsidRPr="00793B44">
        <w:t xml:space="preserve"> Holland, </w:t>
      </w:r>
      <w:r>
        <w:t>M., (</w:t>
      </w:r>
      <w:r w:rsidRPr="00793B44">
        <w:t>2017</w:t>
      </w:r>
      <w:r>
        <w:t>)</w:t>
      </w:r>
      <w:r w:rsidRPr="00793B44">
        <w:t> </w:t>
      </w:r>
      <w:r w:rsidRPr="00E90D71">
        <w:rPr>
          <w:i/>
          <w:iCs/>
        </w:rPr>
        <w:t>Developing estimates for the valuation of air pollution removal in ecosystem accounts. Final report for Office of National Statistics.</w:t>
      </w:r>
      <w:r w:rsidRPr="00793B44">
        <w:t> Wallingford, NERC/Centre for Ecology &amp; Hydrology, 75pp. (CEH Project no. C06156)</w:t>
      </w:r>
      <w:r>
        <w:t xml:space="preserve"> Available at:</w:t>
      </w:r>
      <w:r w:rsidRPr="00E90D71">
        <w:t xml:space="preserve"> </w:t>
      </w:r>
      <w:hyperlink r:id="rId29" w:history="1">
        <w:r w:rsidRPr="00963A6C">
          <w:rPr>
            <w:rStyle w:val="Hyperlink"/>
          </w:rPr>
          <w:t>https://nora.nerc.ac.uk/id/eprint/524081/</w:t>
        </w:r>
      </w:hyperlink>
      <w:r>
        <w:t xml:space="preserve"> </w:t>
      </w:r>
    </w:p>
    <w:p w14:paraId="266DBC98" w14:textId="77777777" w:rsidR="00267D1F" w:rsidRDefault="00267D1F" w:rsidP="00270EF6">
      <w:pPr>
        <w:rPr>
          <w:kern w:val="2"/>
          <w14:ligatures w14:val="standardContextual"/>
        </w:rPr>
      </w:pPr>
      <w:r>
        <w:t xml:space="preserve">Lawton, R.N., Gramatki, I., Watt, W. </w:t>
      </w:r>
      <w:r>
        <w:rPr>
          <w:i/>
          <w:iCs/>
        </w:rPr>
        <w:t>et al.</w:t>
      </w:r>
      <w:r>
        <w:t xml:space="preserve"> (2021). </w:t>
      </w:r>
      <w:r>
        <w:rPr>
          <w:i/>
          <w:iCs/>
        </w:rPr>
        <w:t>Does Volunteering Make Us Happier, or Are Happier People More Likely to Volunteer? Addressing the Problem of Reverse Causality When Estimating the Wellbeing Impacts of Volunteering</w:t>
      </w:r>
      <w:r>
        <w:t xml:space="preserve">. </w:t>
      </w:r>
      <w:r>
        <w:rPr>
          <w:i/>
          <w:iCs/>
        </w:rPr>
        <w:t>J Happiness Stud</w:t>
      </w:r>
      <w:r>
        <w:t xml:space="preserve"> </w:t>
      </w:r>
      <w:r>
        <w:rPr>
          <w:b/>
          <w:bCs/>
        </w:rPr>
        <w:t>22</w:t>
      </w:r>
      <w:r>
        <w:t>, 599–624.</w:t>
      </w:r>
    </w:p>
    <w:p w14:paraId="1E0506F2" w14:textId="6FE66AE3" w:rsidR="00F44E00" w:rsidRDefault="00F44E00" w:rsidP="00270EF6">
      <w:r w:rsidRPr="00711AC2">
        <w:t>Mourato,</w:t>
      </w:r>
      <w:r>
        <w:t xml:space="preserve"> S.,</w:t>
      </w:r>
      <w:r w:rsidRPr="00711AC2">
        <w:t xml:space="preserve"> Atkinson,</w:t>
      </w:r>
      <w:r>
        <w:t xml:space="preserve"> G.,</w:t>
      </w:r>
      <w:r w:rsidRPr="00711AC2">
        <w:t xml:space="preserve"> Collins,</w:t>
      </w:r>
      <w:r>
        <w:t xml:space="preserve"> M.,</w:t>
      </w:r>
      <w:r w:rsidRPr="00711AC2">
        <w:t xml:space="preserve"> Gibbons,</w:t>
      </w:r>
      <w:r>
        <w:t xml:space="preserve"> S.,</w:t>
      </w:r>
      <w:r w:rsidRPr="00711AC2">
        <w:t xml:space="preserve"> MacKerron</w:t>
      </w:r>
      <w:r>
        <w:t>, G.,</w:t>
      </w:r>
      <w:r w:rsidRPr="00711AC2">
        <w:t xml:space="preserve"> and Resende</w:t>
      </w:r>
      <w:r>
        <w:t xml:space="preserve">, G. (2010). </w:t>
      </w:r>
      <w:r w:rsidRPr="000F2FD4">
        <w:rPr>
          <w:i/>
          <w:iCs/>
        </w:rPr>
        <w:t>Economic Analysis of Cultural Services</w:t>
      </w:r>
      <w:r>
        <w:t xml:space="preserve">. Available at: </w:t>
      </w:r>
      <w:hyperlink r:id="rId30" w:history="1">
        <w:r w:rsidRPr="00963A6C">
          <w:rPr>
            <w:rStyle w:val="Hyperlink"/>
          </w:rPr>
          <w:t>https://www.cbd.int/financial/values/unitedkingdom-culturalvalues.pdf</w:t>
        </w:r>
      </w:hyperlink>
      <w:r>
        <w:t xml:space="preserve"> </w:t>
      </w:r>
    </w:p>
    <w:p w14:paraId="4F93DEAF" w14:textId="2D89E438" w:rsidR="00F44E00" w:rsidRDefault="00F44E00" w:rsidP="00270EF6">
      <w:r w:rsidRPr="00E85BC2">
        <w:t xml:space="preserve">Murphy, J.M., Sexton, D.M.H., Jenkins, G.J., Boorman, P.M., Booth, B.B.B., Brown, C.C., Clark, R.T., Collins, M., Harris, G.R., Kendon, E.J., Betts, R.A., Brown, S.J., Howard, T. P., Humphrey, K. A., McCarthy, M. P., McDonald, R. E., Stephens, A., Wallace, C., Warren, R., Wilby, R., Wood, R. A. (2009), </w:t>
      </w:r>
      <w:r w:rsidRPr="000F2FD4">
        <w:rPr>
          <w:i/>
          <w:iCs/>
        </w:rPr>
        <w:t>UK Climate Projections Science Report: Climate change projections</w:t>
      </w:r>
      <w:r w:rsidRPr="00E85BC2">
        <w:t>. Met Office Hadley Centre, Exeter.</w:t>
      </w:r>
    </w:p>
    <w:p w14:paraId="2878A62C" w14:textId="55D8E4C2" w:rsidR="00565651" w:rsidRDefault="00565651" w:rsidP="00270EF6">
      <w:r>
        <w:t xml:space="preserve">Natural Capital Committee (2015). </w:t>
      </w:r>
      <w:r w:rsidRPr="00B678DA">
        <w:rPr>
          <w:i/>
          <w:iCs/>
        </w:rPr>
        <w:t>Developing Corporate Natural Capital Accounts: Final Report</w:t>
      </w:r>
      <w:r>
        <w:t xml:space="preserve">. Available at: </w:t>
      </w:r>
      <w:hyperlink r:id="rId31" w:history="1">
        <w:r w:rsidRPr="006F5D94">
          <w:rPr>
            <w:rStyle w:val="Hyperlink"/>
          </w:rPr>
          <w:t>https://www.gov.uk/government/publications/natural-capital-committee-research-corporate-natural-capital-accounting</w:t>
        </w:r>
      </w:hyperlink>
      <w:r>
        <w:t xml:space="preserve"> </w:t>
      </w:r>
    </w:p>
    <w:p w14:paraId="264212D3" w14:textId="77777777" w:rsidR="00267D1F" w:rsidRDefault="00267D1F" w:rsidP="00270EF6">
      <w:pPr>
        <w:rPr>
          <w:kern w:val="2"/>
          <w14:ligatures w14:val="standardContextual"/>
        </w:rPr>
      </w:pPr>
      <w:r>
        <w:t xml:space="preserve">Natural England (2021). </w:t>
      </w:r>
      <w:r>
        <w:rPr>
          <w:i/>
          <w:iCs/>
        </w:rPr>
        <w:t>Carbon storage and sequestration by habitat: a review of the evidence (second edition)</w:t>
      </w:r>
      <w:r>
        <w:t xml:space="preserve">. Natural England Research Report NERR094. Natural England, York. Available at: </w:t>
      </w:r>
      <w:hyperlink r:id="rId32" w:anchor=":~:text=This%20Natural%20England%20Research%20Report,their%20condition%20and%2For%20management" w:history="1">
        <w:r>
          <w:rPr>
            <w:rStyle w:val="Hyperlink"/>
          </w:rPr>
          <w:t>https://publications.naturalengland.org.uk/publication/5419124441481216#:~:text=This%20Natural%20England%20Research%20Report,their%20condition%20and%2For%20management</w:t>
        </w:r>
      </w:hyperlink>
    </w:p>
    <w:p w14:paraId="0EF8CAD2" w14:textId="41054743" w:rsidR="00565651" w:rsidRDefault="00B678DA" w:rsidP="00270EF6">
      <w:r>
        <w:t>Office for National Statistics (ONS) (</w:t>
      </w:r>
      <w:r w:rsidR="00565651">
        <w:t xml:space="preserve">2017a). </w:t>
      </w:r>
      <w:r w:rsidR="00565651" w:rsidRPr="00B678DA">
        <w:rPr>
          <w:i/>
          <w:iCs/>
        </w:rPr>
        <w:t>Principles of Natural Capital Accounting.</w:t>
      </w:r>
      <w:r w:rsidR="00565651">
        <w:t xml:space="preserve"> Available at: </w:t>
      </w:r>
      <w:hyperlink r:id="rId33" w:history="1">
        <w:r w:rsidR="00565651" w:rsidRPr="006F5D94">
          <w:rPr>
            <w:rStyle w:val="Hyperlink"/>
          </w:rPr>
          <w:t>https://www.ons.gov.uk/economy/environmentalaccounts/methodologies/principlesofnaturalcapitalaccounting</w:t>
        </w:r>
      </w:hyperlink>
      <w:r w:rsidR="00565651">
        <w:t xml:space="preserve"> </w:t>
      </w:r>
    </w:p>
    <w:p w14:paraId="399B6763" w14:textId="028B9DCD" w:rsidR="00B678DA" w:rsidRDefault="00B678DA" w:rsidP="00270EF6">
      <w:r>
        <w:t>Office for National Statistics (ONS) (2017</w:t>
      </w:r>
      <w:r w:rsidR="00565651">
        <w:t>b</w:t>
      </w:r>
      <w:r>
        <w:t xml:space="preserve">). </w:t>
      </w:r>
      <w:r w:rsidRPr="00F84314">
        <w:rPr>
          <w:i/>
          <w:iCs/>
        </w:rPr>
        <w:t>Changes in the value and division of unpaid volunteering in the UK: 2000 to 2015</w:t>
      </w:r>
      <w:r>
        <w:t xml:space="preserve">. Available at: </w:t>
      </w:r>
      <w:hyperlink r:id="rId34" w:anchor="time-and-participation-in-formal-volunteering-in-the-uk-between-2000-and-2015" w:history="1">
        <w:r w:rsidRPr="00963A6C">
          <w:rPr>
            <w:rStyle w:val="Hyperlink"/>
          </w:rPr>
          <w:t>https://www.ons.gov.uk/economy/nationalaccounts/satelliteaccounts/articles/changesinthevalueanddivision</w:t>
        </w:r>
        <w:r w:rsidRPr="00963A6C">
          <w:rPr>
            <w:rStyle w:val="Hyperlink"/>
          </w:rPr>
          <w:lastRenderedPageBreak/>
          <w:t>ofunpaidcareworkintheuk/2015#time-and-participation-in-formal-volunteering-in-the-uk-between-2000-and-2015</w:t>
        </w:r>
      </w:hyperlink>
      <w:r>
        <w:t xml:space="preserve"> </w:t>
      </w:r>
    </w:p>
    <w:p w14:paraId="19DA0A8C" w14:textId="77777777" w:rsidR="00B678DA" w:rsidRDefault="00B678DA" w:rsidP="00270EF6">
      <w:r>
        <w:t xml:space="preserve">Office for National Statistics (ONS) (2023). </w:t>
      </w:r>
      <w:r w:rsidRPr="00E90D71">
        <w:rPr>
          <w:i/>
          <w:iCs/>
        </w:rPr>
        <w:t>Urban natural capital accounts, UK: 2023</w:t>
      </w:r>
      <w:r>
        <w:t xml:space="preserve">. Available at: </w:t>
      </w:r>
      <w:hyperlink r:id="rId35" w:history="1">
        <w:r w:rsidRPr="00963A6C">
          <w:rPr>
            <w:rStyle w:val="Hyperlink"/>
          </w:rPr>
          <w:t>https://www.ons.gov.uk/economy/environmentalaccounts/bulletins/urbannaturalcapitalaccountsuk/2023</w:t>
        </w:r>
      </w:hyperlink>
      <w:r>
        <w:t xml:space="preserve"> </w:t>
      </w:r>
    </w:p>
    <w:p w14:paraId="5CD35E92" w14:textId="77777777" w:rsidR="00B678DA" w:rsidRDefault="00B678DA" w:rsidP="00270EF6">
      <w:r>
        <w:t xml:space="preserve">Office for National Statistics (ONS) (2024). </w:t>
      </w:r>
      <w:r w:rsidRPr="00E90D71">
        <w:rPr>
          <w:i/>
          <w:iCs/>
        </w:rPr>
        <w:t>UK natural capital accounts: 2024</w:t>
      </w:r>
      <w:r>
        <w:t xml:space="preserve">. Available at: </w:t>
      </w:r>
      <w:hyperlink r:id="rId36" w:history="1">
        <w:r w:rsidRPr="00963A6C">
          <w:rPr>
            <w:rStyle w:val="Hyperlink"/>
          </w:rPr>
          <w:t>https://www.ons.gov.uk/economy/environmentalaccounts/bulletins/uknaturalcapitalaccounts/2024</w:t>
        </w:r>
      </w:hyperlink>
      <w:r>
        <w:t xml:space="preserve"> </w:t>
      </w:r>
    </w:p>
    <w:p w14:paraId="12DBF432" w14:textId="5BC486CE" w:rsidR="00F44E00" w:rsidRDefault="00B678DA" w:rsidP="00270EF6">
      <w:r>
        <w:t>ORVal</w:t>
      </w:r>
      <w:r w:rsidRPr="00E85BC2">
        <w:t xml:space="preserve"> (2018). </w:t>
      </w:r>
      <w:r w:rsidRPr="000F2FD4">
        <w:rPr>
          <w:i/>
          <w:iCs/>
        </w:rPr>
        <w:t>Outdoor Recreation Valuation (ORVal) User Guide: Version 2.0</w:t>
      </w:r>
      <w:r>
        <w:t>.</w:t>
      </w:r>
      <w:r w:rsidRPr="00E85BC2">
        <w:t xml:space="preserve"> Land, Environment, Economics and Policy (LEEP) Institute, Business School, University of Exeter.</w:t>
      </w:r>
      <w:r>
        <w:t xml:space="preserve"> Available at: </w:t>
      </w:r>
      <w:hyperlink r:id="rId37" w:history="1">
        <w:r w:rsidR="00F44E00" w:rsidRPr="00963A6C">
          <w:rPr>
            <w:rStyle w:val="Hyperlink"/>
          </w:rPr>
          <w:t>https://www.leep.exeter.ac.uk/orval/</w:t>
        </w:r>
      </w:hyperlink>
    </w:p>
    <w:p w14:paraId="1B3364E3" w14:textId="7724CD83" w:rsidR="00F44E00" w:rsidRPr="00F44E00" w:rsidRDefault="00F44E00" w:rsidP="00270EF6">
      <w:r w:rsidRPr="00F64A3E">
        <w:t>United Nations</w:t>
      </w:r>
      <w:r>
        <w:t xml:space="preserve"> (UN)</w:t>
      </w:r>
      <w:r w:rsidRPr="00F64A3E">
        <w:t xml:space="preserve">, European Commission, International Monetary Fund, Organisation for Economic Co-operation and Development, &amp; World Bank. (2025). </w:t>
      </w:r>
      <w:r w:rsidRPr="00565651">
        <w:rPr>
          <w:i/>
          <w:iCs/>
        </w:rPr>
        <w:t>System of National Accounts 2025: Pre-edit version</w:t>
      </w:r>
      <w:r w:rsidRPr="00F64A3E">
        <w:t xml:space="preserve">. </w:t>
      </w:r>
      <w:r>
        <w:t xml:space="preserve">Available at: </w:t>
      </w:r>
      <w:hyperlink r:id="rId38" w:history="1">
        <w:r w:rsidRPr="00693B81">
          <w:rPr>
            <w:rStyle w:val="Hyperlink"/>
          </w:rPr>
          <w:t>https://unstats.un.org/unsd/nationalaccount/sna25.asp</w:t>
        </w:r>
      </w:hyperlink>
      <w:r>
        <w:t xml:space="preserve"> </w:t>
      </w:r>
    </w:p>
    <w:p w14:paraId="1F4B5705" w14:textId="03D6AEF1" w:rsidR="00B678DA" w:rsidRDefault="00B678DA" w:rsidP="00270EF6">
      <w:r>
        <w:rPr>
          <w:bdr w:val="none" w:sz="0" w:space="0" w:color="auto" w:frame="1"/>
        </w:rPr>
        <w:t xml:space="preserve">University of Manchester (2019). </w:t>
      </w:r>
      <w:r w:rsidRPr="000F2FD4">
        <w:rPr>
          <w:i/>
          <w:iCs/>
          <w:bdr w:val="none" w:sz="0" w:space="0" w:color="auto" w:frame="1"/>
        </w:rPr>
        <w:t>Canals, Cooling and Replicable Models - Summary Report to the Canal and River Trust</w:t>
      </w:r>
      <w:r>
        <w:rPr>
          <w:bdr w:val="none" w:sz="0" w:space="0" w:color="auto" w:frame="1"/>
        </w:rPr>
        <w:t xml:space="preserve">. </w:t>
      </w:r>
      <w:r>
        <w:t xml:space="preserve">Available at: </w:t>
      </w:r>
      <w:hyperlink r:id="rId39" w:history="1">
        <w:r w:rsidRPr="00963A6C">
          <w:rPr>
            <w:rStyle w:val="Hyperlink"/>
          </w:rPr>
          <w:t>https://documents.manchester.ac.uk/display.aspx?DocID=57300</w:t>
        </w:r>
      </w:hyperlink>
      <w:r>
        <w:t xml:space="preserve"> </w:t>
      </w:r>
    </w:p>
    <w:p w14:paraId="021452D8" w14:textId="77777777" w:rsidR="00267D1F" w:rsidRDefault="00267D1F" w:rsidP="00270EF6">
      <w:pPr>
        <w:rPr>
          <w:kern w:val="2"/>
          <w14:ligatures w14:val="standardContextual"/>
        </w:rPr>
      </w:pPr>
      <w:r>
        <w:t xml:space="preserve">White, M.P., Elliott, L.R., Taylor, T., Wheeler, B.W., Spencer, A., Bone, A., Depledge, M.H., Fleming, L.E. (2016). </w:t>
      </w:r>
      <w:r>
        <w:rPr>
          <w:i/>
          <w:iCs/>
        </w:rPr>
        <w:t>Recreational physical activity in natural environments and implications for health: A population-based cross-sectional study in England</w:t>
      </w:r>
      <w:r>
        <w:t xml:space="preserve">. </w:t>
      </w:r>
      <w:r>
        <w:rPr>
          <w:i/>
          <w:iCs/>
        </w:rPr>
        <w:t>Preventive Medicine</w:t>
      </w:r>
      <w:r>
        <w:t xml:space="preserve"> 91, 383–388.</w:t>
      </w:r>
    </w:p>
    <w:p w14:paraId="0BD33DDD" w14:textId="0651B0CD" w:rsidR="00B678DA" w:rsidRDefault="00B678DA" w:rsidP="00B678DA"/>
    <w:p w14:paraId="11840AED" w14:textId="77777777" w:rsidR="00B678DA" w:rsidRPr="00B678DA" w:rsidRDefault="00B678DA" w:rsidP="00B678DA"/>
    <w:p w14:paraId="67BFCD27" w14:textId="77777777" w:rsidR="00272E5C" w:rsidRDefault="00272E5C">
      <w:pPr>
        <w:spacing w:after="0"/>
      </w:pPr>
    </w:p>
    <w:p w14:paraId="3F678439" w14:textId="77777777" w:rsidR="00F40B26" w:rsidRDefault="00F40B26">
      <w:pPr>
        <w:spacing w:after="0"/>
      </w:pPr>
    </w:p>
    <w:p w14:paraId="7DF71DDC" w14:textId="77777777" w:rsidR="001A6C76" w:rsidRDefault="001A6C76">
      <w:pPr>
        <w:spacing w:after="0"/>
      </w:pPr>
    </w:p>
    <w:p w14:paraId="4C417973" w14:textId="77777777" w:rsidR="00F40B26" w:rsidRDefault="00F40B26">
      <w:pPr>
        <w:spacing w:after="0"/>
      </w:pPr>
    </w:p>
    <w:p w14:paraId="112BEA78" w14:textId="77777777" w:rsidR="005955D0" w:rsidRDefault="005955D0">
      <w:pPr>
        <w:spacing w:after="0"/>
      </w:pPr>
    </w:p>
    <w:p w14:paraId="17665869" w14:textId="35489EE9" w:rsidR="00563496" w:rsidRPr="003C263A" w:rsidRDefault="00AA5F42">
      <w:pPr>
        <w:spacing w:after="0"/>
      </w:pPr>
      <w:r>
        <w:br w:type="page"/>
      </w:r>
    </w:p>
    <w:p w14:paraId="7AFEE32A" w14:textId="77777777" w:rsidR="00103567" w:rsidRDefault="00103567" w:rsidP="00C1742F">
      <w:pPr>
        <w:pStyle w:val="Heading1"/>
        <w:sectPr w:rsidR="00103567" w:rsidSect="00224D79">
          <w:footerReference w:type="default" r:id="rId40"/>
          <w:headerReference w:type="first" r:id="rId41"/>
          <w:type w:val="continuous"/>
          <w:pgSz w:w="11906" w:h="16838" w:code="9"/>
          <w:pgMar w:top="692" w:right="1021" w:bottom="1418" w:left="1021" w:header="709" w:footer="709" w:gutter="0"/>
          <w:cols w:space="708"/>
          <w:titlePg/>
          <w:docGrid w:linePitch="360"/>
        </w:sectPr>
      </w:pPr>
    </w:p>
    <w:p w14:paraId="31FA139E" w14:textId="563B7F41" w:rsidR="003B6E70" w:rsidRDefault="00C1742F" w:rsidP="00D35EE6">
      <w:pPr>
        <w:pStyle w:val="Heading1"/>
      </w:pPr>
      <w:r>
        <w:lastRenderedPageBreak/>
        <w:t xml:space="preserve">Appendix: </w:t>
      </w:r>
      <w:r w:rsidR="00415577" w:rsidRPr="00415577">
        <w:t>Summary of methodology by ecosystem service</w:t>
      </w:r>
    </w:p>
    <w:p w14:paraId="23417028" w14:textId="207D1015" w:rsidR="00415577" w:rsidRDefault="00415577" w:rsidP="00415577">
      <w:pPr>
        <w:rPr>
          <w:b/>
          <w:bCs/>
          <w:lang w:eastAsia="zh-TW"/>
        </w:rPr>
      </w:pPr>
      <w:r>
        <w:rPr>
          <w:b/>
          <w:bCs/>
          <w:lang w:eastAsia="zh-TW"/>
        </w:rPr>
        <w:t xml:space="preserve">Table </w:t>
      </w:r>
      <w:r w:rsidR="003C263A">
        <w:rPr>
          <w:b/>
          <w:bCs/>
          <w:lang w:eastAsia="zh-TW"/>
        </w:rPr>
        <w:t>3</w:t>
      </w:r>
      <w:r w:rsidRPr="004E3746">
        <w:rPr>
          <w:b/>
          <w:bCs/>
          <w:lang w:eastAsia="zh-TW"/>
        </w:rPr>
        <w:t xml:space="preserve">: </w:t>
      </w:r>
      <w:r>
        <w:rPr>
          <w:b/>
          <w:bCs/>
          <w:lang w:eastAsia="zh-TW"/>
        </w:rPr>
        <w:t>Summary of methodology by ecosystem service</w:t>
      </w:r>
    </w:p>
    <w:tbl>
      <w:tblPr>
        <w:tblStyle w:val="TableGrid"/>
        <w:tblpPr w:leftFromText="180" w:rightFromText="180" w:vertAnchor="text" w:tblpY="1"/>
        <w:tblOverlap w:val="never"/>
        <w:tblW w:w="14718" w:type="dxa"/>
        <w:tblLook w:val="04A0" w:firstRow="1" w:lastRow="0" w:firstColumn="1" w:lastColumn="0" w:noHBand="0" w:noVBand="1"/>
      </w:tblPr>
      <w:tblGrid>
        <w:gridCol w:w="1809"/>
        <w:gridCol w:w="1904"/>
        <w:gridCol w:w="1347"/>
        <w:gridCol w:w="2165"/>
        <w:gridCol w:w="1414"/>
        <w:gridCol w:w="1846"/>
        <w:gridCol w:w="1555"/>
        <w:gridCol w:w="2678"/>
      </w:tblGrid>
      <w:tr w:rsidR="004C75E5" w14:paraId="3EC43204" w14:textId="77777777" w:rsidTr="00AA74D2">
        <w:trPr>
          <w:tblHeader/>
        </w:trPr>
        <w:tc>
          <w:tcPr>
            <w:tcW w:w="1809" w:type="dxa"/>
            <w:shd w:val="clear" w:color="auto" w:fill="0B2D55" w:themeFill="text2" w:themeFillShade="80"/>
          </w:tcPr>
          <w:p w14:paraId="3A5D388E" w14:textId="77777777" w:rsidR="004C75E5" w:rsidRDefault="004C75E5" w:rsidP="00AA74D2">
            <w:pPr>
              <w:spacing w:after="0"/>
              <w:jc w:val="left"/>
              <w:rPr>
                <w:b/>
                <w:bCs/>
              </w:rPr>
            </w:pPr>
            <w:r w:rsidRPr="008C5442">
              <w:rPr>
                <w:b/>
                <w:bCs/>
              </w:rPr>
              <w:t>Ecosystem Service</w:t>
            </w:r>
          </w:p>
          <w:p w14:paraId="254F833E" w14:textId="77777777" w:rsidR="004C75E5" w:rsidRPr="008C5442" w:rsidRDefault="004C75E5" w:rsidP="00AA74D2">
            <w:pPr>
              <w:spacing w:after="0"/>
              <w:jc w:val="left"/>
              <w:rPr>
                <w:b/>
                <w:bCs/>
              </w:rPr>
            </w:pPr>
          </w:p>
        </w:tc>
        <w:tc>
          <w:tcPr>
            <w:tcW w:w="1904" w:type="dxa"/>
            <w:shd w:val="clear" w:color="auto" w:fill="0B2D55" w:themeFill="text2" w:themeFillShade="80"/>
          </w:tcPr>
          <w:p w14:paraId="766AAB53" w14:textId="77777777" w:rsidR="004C75E5" w:rsidRPr="008C5442" w:rsidRDefault="004C75E5" w:rsidP="00AA74D2">
            <w:pPr>
              <w:spacing w:after="0"/>
              <w:jc w:val="left"/>
              <w:rPr>
                <w:b/>
                <w:bCs/>
              </w:rPr>
            </w:pPr>
            <w:r w:rsidRPr="008C5442">
              <w:rPr>
                <w:b/>
                <w:bCs/>
              </w:rPr>
              <w:t>Physical Flow</w:t>
            </w:r>
          </w:p>
        </w:tc>
        <w:tc>
          <w:tcPr>
            <w:tcW w:w="1347" w:type="dxa"/>
            <w:shd w:val="clear" w:color="auto" w:fill="0B2D55" w:themeFill="text2" w:themeFillShade="80"/>
          </w:tcPr>
          <w:p w14:paraId="20DB4A0F" w14:textId="5CB60DDC" w:rsidR="004C75E5" w:rsidRPr="00445F78" w:rsidRDefault="004C75E5" w:rsidP="00AA74D2">
            <w:pPr>
              <w:spacing w:after="0"/>
              <w:jc w:val="left"/>
              <w:rPr>
                <w:b/>
                <w:bCs/>
              </w:rPr>
            </w:pPr>
            <w:r w:rsidRPr="00445F78">
              <w:rPr>
                <w:rFonts w:cstheme="majorHAnsi"/>
                <w:b/>
                <w:bCs/>
                <w:color w:val="FFFFFF"/>
              </w:rPr>
              <w:t>Confidence (Physical)</w:t>
            </w:r>
          </w:p>
        </w:tc>
        <w:tc>
          <w:tcPr>
            <w:tcW w:w="2165" w:type="dxa"/>
            <w:shd w:val="clear" w:color="auto" w:fill="0B2D55" w:themeFill="text2" w:themeFillShade="80"/>
          </w:tcPr>
          <w:p w14:paraId="753B8C21" w14:textId="77777777" w:rsidR="004C75E5" w:rsidRPr="00445F78" w:rsidRDefault="004C75E5" w:rsidP="00AA74D2">
            <w:pPr>
              <w:spacing w:after="0"/>
              <w:jc w:val="left"/>
              <w:rPr>
                <w:b/>
                <w:bCs/>
              </w:rPr>
            </w:pPr>
            <w:r w:rsidRPr="00445F78">
              <w:rPr>
                <w:b/>
                <w:bCs/>
              </w:rPr>
              <w:t>Valuation Method</w:t>
            </w:r>
          </w:p>
        </w:tc>
        <w:tc>
          <w:tcPr>
            <w:tcW w:w="1414" w:type="dxa"/>
            <w:shd w:val="clear" w:color="auto" w:fill="0B2D55" w:themeFill="text2" w:themeFillShade="80"/>
          </w:tcPr>
          <w:p w14:paraId="53FE12FF" w14:textId="15164BB7" w:rsidR="004C75E5" w:rsidRPr="00445F78" w:rsidRDefault="004C75E5" w:rsidP="00AA74D2">
            <w:pPr>
              <w:spacing w:after="0"/>
              <w:jc w:val="left"/>
              <w:rPr>
                <w:b/>
                <w:bCs/>
              </w:rPr>
            </w:pPr>
            <w:r w:rsidRPr="00445F78">
              <w:rPr>
                <w:rFonts w:cstheme="majorHAnsi"/>
                <w:b/>
                <w:bCs/>
                <w:color w:val="FFFFFF"/>
              </w:rPr>
              <w:t>Confidence (Monetary)</w:t>
            </w:r>
          </w:p>
        </w:tc>
        <w:tc>
          <w:tcPr>
            <w:tcW w:w="1846" w:type="dxa"/>
            <w:shd w:val="clear" w:color="auto" w:fill="0B2D55" w:themeFill="text2" w:themeFillShade="80"/>
          </w:tcPr>
          <w:p w14:paraId="087BCD4C" w14:textId="77777777" w:rsidR="004C75E5" w:rsidRPr="008C5442" w:rsidRDefault="004C75E5" w:rsidP="00AA74D2">
            <w:pPr>
              <w:spacing w:after="0"/>
              <w:jc w:val="left"/>
              <w:rPr>
                <w:b/>
                <w:bCs/>
              </w:rPr>
            </w:pPr>
            <w:r w:rsidRPr="008C5442">
              <w:rPr>
                <w:b/>
                <w:bCs/>
              </w:rPr>
              <w:t>Evidence Source</w:t>
            </w:r>
          </w:p>
        </w:tc>
        <w:tc>
          <w:tcPr>
            <w:tcW w:w="1555" w:type="dxa"/>
            <w:shd w:val="clear" w:color="auto" w:fill="0B2D55" w:themeFill="text2" w:themeFillShade="80"/>
          </w:tcPr>
          <w:p w14:paraId="107F811A" w14:textId="77777777" w:rsidR="004C75E5" w:rsidRPr="008C5442" w:rsidRDefault="004C75E5" w:rsidP="00AA74D2">
            <w:pPr>
              <w:spacing w:after="0"/>
              <w:jc w:val="left"/>
              <w:rPr>
                <w:b/>
                <w:bCs/>
              </w:rPr>
            </w:pPr>
            <w:r w:rsidRPr="008C5442">
              <w:rPr>
                <w:b/>
                <w:bCs/>
              </w:rPr>
              <w:t>Discount Rate</w:t>
            </w:r>
          </w:p>
        </w:tc>
        <w:tc>
          <w:tcPr>
            <w:tcW w:w="2678" w:type="dxa"/>
            <w:shd w:val="clear" w:color="auto" w:fill="0B2D55" w:themeFill="text2" w:themeFillShade="80"/>
          </w:tcPr>
          <w:p w14:paraId="06888788" w14:textId="77777777" w:rsidR="004C75E5" w:rsidRPr="008C5442" w:rsidRDefault="004C75E5" w:rsidP="00AA74D2">
            <w:pPr>
              <w:spacing w:after="0"/>
              <w:jc w:val="left"/>
              <w:rPr>
                <w:b/>
                <w:bCs/>
              </w:rPr>
            </w:pPr>
            <w:r w:rsidRPr="008C5442">
              <w:rPr>
                <w:b/>
                <w:bCs/>
              </w:rPr>
              <w:t>Asset Value Assumptions</w:t>
            </w:r>
          </w:p>
        </w:tc>
      </w:tr>
      <w:tr w:rsidR="004C75E5" w14:paraId="46543C15" w14:textId="77777777" w:rsidTr="00AA74D2">
        <w:trPr>
          <w:trHeight w:val="397"/>
        </w:trPr>
        <w:tc>
          <w:tcPr>
            <w:tcW w:w="14718" w:type="dxa"/>
            <w:gridSpan w:val="8"/>
            <w:shd w:val="clear" w:color="auto" w:fill="165BAA" w:themeFill="text2"/>
          </w:tcPr>
          <w:p w14:paraId="5B8988DC" w14:textId="49F553D6" w:rsidR="004C75E5" w:rsidRPr="00016D5A" w:rsidRDefault="004C75E5" w:rsidP="00AA74D2">
            <w:pPr>
              <w:spacing w:after="0"/>
              <w:jc w:val="left"/>
              <w:rPr>
                <w:b/>
                <w:bCs/>
                <w:color w:val="FFFFFF" w:themeColor="background1"/>
              </w:rPr>
            </w:pPr>
            <w:r w:rsidRPr="00016D5A">
              <w:rPr>
                <w:b/>
                <w:bCs/>
                <w:color w:val="FFFFFF" w:themeColor="background1"/>
              </w:rPr>
              <w:t>Provisioning Services</w:t>
            </w:r>
          </w:p>
        </w:tc>
      </w:tr>
      <w:tr w:rsidR="00445F78" w14:paraId="535E5838" w14:textId="77777777" w:rsidTr="00AA74D2">
        <w:tc>
          <w:tcPr>
            <w:tcW w:w="1809" w:type="dxa"/>
          </w:tcPr>
          <w:p w14:paraId="2891DB81" w14:textId="77777777" w:rsidR="00445F78" w:rsidRPr="007E2BFD" w:rsidRDefault="00445F78" w:rsidP="00AA74D2">
            <w:pPr>
              <w:spacing w:after="0"/>
              <w:jc w:val="left"/>
              <w:rPr>
                <w:b/>
                <w:bCs/>
              </w:rPr>
            </w:pPr>
            <w:r w:rsidRPr="007E2BFD">
              <w:rPr>
                <w:b/>
                <w:bCs/>
              </w:rPr>
              <w:t>Renewable energy provisioning</w:t>
            </w:r>
          </w:p>
        </w:tc>
        <w:tc>
          <w:tcPr>
            <w:tcW w:w="1904" w:type="dxa"/>
          </w:tcPr>
          <w:p w14:paraId="7E9EB096" w14:textId="77777777" w:rsidR="00445F78" w:rsidRDefault="00445F78" w:rsidP="00AA74D2">
            <w:pPr>
              <w:spacing w:after="0"/>
              <w:jc w:val="left"/>
              <w:rPr>
                <w:bdr w:val="none" w:sz="0" w:space="0" w:color="auto" w:frame="1"/>
              </w:rPr>
            </w:pPr>
            <w:r w:rsidRPr="000811B9">
              <w:t>Average annual MWh energy provided</w:t>
            </w:r>
          </w:p>
        </w:tc>
        <w:tc>
          <w:tcPr>
            <w:tcW w:w="1347" w:type="dxa"/>
          </w:tcPr>
          <w:p w14:paraId="5324CFD9" w14:textId="0A6BA765" w:rsidR="00445F78" w:rsidRPr="00061C90" w:rsidRDefault="00445F78" w:rsidP="00AA74D2">
            <w:pPr>
              <w:spacing w:after="0"/>
              <w:jc w:val="center"/>
              <w:rPr>
                <w:b/>
              </w:rPr>
            </w:pPr>
            <w:r w:rsidRPr="00445F78">
              <w:rPr>
                <w:rFonts w:cstheme="majorHAnsi"/>
                <w:color w:val="000000"/>
                <w:szCs w:val="22"/>
              </w:rPr>
              <w:t>M</w:t>
            </w:r>
          </w:p>
        </w:tc>
        <w:tc>
          <w:tcPr>
            <w:tcW w:w="2165" w:type="dxa"/>
          </w:tcPr>
          <w:p w14:paraId="28E96AB2" w14:textId="77777777" w:rsidR="00445F78" w:rsidRPr="00433C65" w:rsidRDefault="00445F78" w:rsidP="00AA74D2">
            <w:pPr>
              <w:spacing w:after="0"/>
              <w:jc w:val="left"/>
              <w:rPr>
                <w:bdr w:val="none" w:sz="0" w:space="0" w:color="auto" w:frame="1"/>
              </w:rPr>
            </w:pPr>
            <w:r w:rsidRPr="00D63812">
              <w:t>Resource rent, £/kWh</w:t>
            </w:r>
          </w:p>
        </w:tc>
        <w:tc>
          <w:tcPr>
            <w:tcW w:w="1414" w:type="dxa"/>
          </w:tcPr>
          <w:p w14:paraId="29F09942" w14:textId="59D6527D" w:rsidR="00445F78" w:rsidRPr="003E1F29" w:rsidRDefault="00445F78" w:rsidP="00AA74D2">
            <w:pPr>
              <w:spacing w:after="0"/>
              <w:jc w:val="center"/>
            </w:pPr>
            <w:r w:rsidRPr="00445F78">
              <w:rPr>
                <w:rFonts w:cstheme="majorHAnsi"/>
                <w:color w:val="000000"/>
                <w:szCs w:val="22"/>
              </w:rPr>
              <w:t>M</w:t>
            </w:r>
          </w:p>
        </w:tc>
        <w:tc>
          <w:tcPr>
            <w:tcW w:w="1846" w:type="dxa"/>
          </w:tcPr>
          <w:p w14:paraId="6DCBA8E3" w14:textId="77777777" w:rsidR="00445F78" w:rsidRDefault="00445F78" w:rsidP="00AA74D2">
            <w:pPr>
              <w:spacing w:after="0"/>
              <w:jc w:val="left"/>
            </w:pPr>
            <w:r w:rsidRPr="003E1F29">
              <w:t>ONS (2024) resource rent, Trust data</w:t>
            </w:r>
          </w:p>
          <w:p w14:paraId="1DAF006A" w14:textId="7C58F7F2" w:rsidR="00AA74D2" w:rsidRPr="003E1F29" w:rsidRDefault="00AA74D2" w:rsidP="00AA74D2">
            <w:pPr>
              <w:spacing w:after="0"/>
              <w:jc w:val="left"/>
            </w:pPr>
          </w:p>
        </w:tc>
        <w:tc>
          <w:tcPr>
            <w:tcW w:w="1555" w:type="dxa"/>
          </w:tcPr>
          <w:p w14:paraId="5DAF9C80" w14:textId="77777777" w:rsidR="00445F78" w:rsidRDefault="00445F78" w:rsidP="00AA74D2">
            <w:pPr>
              <w:spacing w:after="0"/>
              <w:jc w:val="left"/>
            </w:pPr>
            <w:r>
              <w:t>Standard: 3.5%, declining after 30 years</w:t>
            </w:r>
          </w:p>
        </w:tc>
        <w:tc>
          <w:tcPr>
            <w:tcW w:w="2678" w:type="dxa"/>
          </w:tcPr>
          <w:p w14:paraId="3513CAF8" w14:textId="77777777" w:rsidR="00445F78" w:rsidRPr="00D141A2" w:rsidRDefault="00445F78" w:rsidP="00AA74D2">
            <w:pPr>
              <w:spacing w:after="0"/>
              <w:jc w:val="left"/>
              <w:rPr>
                <w:bdr w:val="none" w:sz="0" w:space="0" w:color="auto" w:frame="1"/>
              </w:rPr>
            </w:pPr>
            <w:r>
              <w:rPr>
                <w:bdr w:val="none" w:sz="0" w:space="0" w:color="auto" w:frame="1"/>
              </w:rPr>
              <w:t>Renewable energy provision remains constant over 100-year period</w:t>
            </w:r>
          </w:p>
        </w:tc>
      </w:tr>
      <w:tr w:rsidR="00445F78" w14:paraId="686EAE15" w14:textId="77777777" w:rsidTr="00AA74D2">
        <w:tc>
          <w:tcPr>
            <w:tcW w:w="1809" w:type="dxa"/>
          </w:tcPr>
          <w:p w14:paraId="656B4B29" w14:textId="77777777" w:rsidR="00445F78" w:rsidRPr="007E2BFD" w:rsidRDefault="00445F78" w:rsidP="00AA74D2">
            <w:pPr>
              <w:spacing w:after="0"/>
              <w:jc w:val="left"/>
              <w:rPr>
                <w:b/>
                <w:bCs/>
              </w:rPr>
            </w:pPr>
            <w:r w:rsidRPr="007E2BFD">
              <w:rPr>
                <w:b/>
                <w:bCs/>
              </w:rPr>
              <w:t xml:space="preserve">Water provisioning </w:t>
            </w:r>
          </w:p>
        </w:tc>
        <w:tc>
          <w:tcPr>
            <w:tcW w:w="1904" w:type="dxa"/>
          </w:tcPr>
          <w:p w14:paraId="602F5688" w14:textId="77777777" w:rsidR="00445F78" w:rsidRDefault="00445F78" w:rsidP="00AA74D2">
            <w:pPr>
              <w:spacing w:after="0"/>
              <w:jc w:val="left"/>
            </w:pPr>
            <w:r>
              <w:rPr>
                <w:bdr w:val="none" w:sz="0" w:space="0" w:color="auto" w:frame="1"/>
              </w:rPr>
              <w:t>Volume of water transfer, m3 per year</w:t>
            </w:r>
          </w:p>
        </w:tc>
        <w:tc>
          <w:tcPr>
            <w:tcW w:w="1347" w:type="dxa"/>
          </w:tcPr>
          <w:p w14:paraId="7729CAB9" w14:textId="580A8F43" w:rsidR="00445F78" w:rsidRPr="00061C90" w:rsidRDefault="00445F78" w:rsidP="00AA74D2">
            <w:pPr>
              <w:spacing w:after="0"/>
              <w:jc w:val="center"/>
              <w:rPr>
                <w:b/>
                <w:bdr w:val="none" w:sz="0" w:space="0" w:color="auto" w:frame="1"/>
              </w:rPr>
            </w:pPr>
            <w:r w:rsidRPr="00445F78">
              <w:rPr>
                <w:rFonts w:cstheme="majorHAnsi"/>
                <w:color w:val="000000"/>
                <w:szCs w:val="22"/>
              </w:rPr>
              <w:t>M</w:t>
            </w:r>
          </w:p>
        </w:tc>
        <w:tc>
          <w:tcPr>
            <w:tcW w:w="2165" w:type="dxa"/>
          </w:tcPr>
          <w:p w14:paraId="13179C2A" w14:textId="77777777" w:rsidR="00445F78" w:rsidRDefault="00445F78" w:rsidP="00AA74D2">
            <w:pPr>
              <w:spacing w:after="0"/>
              <w:jc w:val="left"/>
            </w:pPr>
            <w:r w:rsidRPr="00433C65">
              <w:rPr>
                <w:bdr w:val="none" w:sz="0" w:space="0" w:color="auto" w:frame="1"/>
              </w:rPr>
              <w:t>Resource rent</w:t>
            </w:r>
            <w:r>
              <w:rPr>
                <w:bdr w:val="none" w:sz="0" w:space="0" w:color="auto" w:frame="1"/>
              </w:rPr>
              <w:t>, £/m3</w:t>
            </w:r>
          </w:p>
        </w:tc>
        <w:tc>
          <w:tcPr>
            <w:tcW w:w="1414" w:type="dxa"/>
          </w:tcPr>
          <w:p w14:paraId="5623AE9F" w14:textId="0E2767B8" w:rsidR="00445F78" w:rsidRPr="003E1F29" w:rsidRDefault="00445F78" w:rsidP="00AA74D2">
            <w:pPr>
              <w:spacing w:after="0"/>
              <w:jc w:val="center"/>
            </w:pPr>
            <w:r w:rsidRPr="00445F78">
              <w:rPr>
                <w:rFonts w:cstheme="majorHAnsi"/>
                <w:color w:val="000000"/>
                <w:szCs w:val="22"/>
              </w:rPr>
              <w:t>M</w:t>
            </w:r>
          </w:p>
        </w:tc>
        <w:tc>
          <w:tcPr>
            <w:tcW w:w="1846" w:type="dxa"/>
          </w:tcPr>
          <w:p w14:paraId="40DDDEF9" w14:textId="77777777" w:rsidR="00445F78" w:rsidRDefault="00445F78" w:rsidP="00AA74D2">
            <w:pPr>
              <w:spacing w:after="0"/>
              <w:jc w:val="left"/>
            </w:pPr>
            <w:r w:rsidRPr="003E1F29">
              <w:t>ONS (2024) resource rent, Trust data</w:t>
            </w:r>
          </w:p>
          <w:p w14:paraId="0BCEBB4C" w14:textId="7C2D0781" w:rsidR="00AA74D2" w:rsidRDefault="00AA74D2" w:rsidP="00AA74D2">
            <w:pPr>
              <w:spacing w:after="0"/>
              <w:jc w:val="left"/>
            </w:pPr>
          </w:p>
        </w:tc>
        <w:tc>
          <w:tcPr>
            <w:tcW w:w="1555" w:type="dxa"/>
          </w:tcPr>
          <w:p w14:paraId="14F40364" w14:textId="77777777" w:rsidR="00445F78" w:rsidRDefault="00445F78" w:rsidP="00AA74D2">
            <w:pPr>
              <w:spacing w:after="0"/>
              <w:jc w:val="left"/>
            </w:pPr>
            <w:r>
              <w:t>Standard: 3.5%, declining after 30 years</w:t>
            </w:r>
          </w:p>
        </w:tc>
        <w:tc>
          <w:tcPr>
            <w:tcW w:w="2678" w:type="dxa"/>
          </w:tcPr>
          <w:p w14:paraId="7032D051" w14:textId="77777777" w:rsidR="00445F78" w:rsidRDefault="00445F78" w:rsidP="00AA74D2">
            <w:pPr>
              <w:spacing w:after="0"/>
              <w:jc w:val="left"/>
            </w:pPr>
            <w:r w:rsidRPr="00D141A2">
              <w:rPr>
                <w:bdr w:val="none" w:sz="0" w:space="0" w:color="auto" w:frame="1"/>
              </w:rPr>
              <w:t xml:space="preserve">Water </w:t>
            </w:r>
            <w:r>
              <w:rPr>
                <w:bdr w:val="none" w:sz="0" w:space="0" w:color="auto" w:frame="1"/>
              </w:rPr>
              <w:t>transfer agreements remain constant over 100-year period</w:t>
            </w:r>
          </w:p>
        </w:tc>
      </w:tr>
      <w:tr w:rsidR="004C75E5" w14:paraId="7096C0A1" w14:textId="77777777" w:rsidTr="00AA74D2">
        <w:trPr>
          <w:trHeight w:val="397"/>
        </w:trPr>
        <w:tc>
          <w:tcPr>
            <w:tcW w:w="14718" w:type="dxa"/>
            <w:gridSpan w:val="8"/>
            <w:shd w:val="clear" w:color="auto" w:fill="165BAA" w:themeFill="text2"/>
          </w:tcPr>
          <w:p w14:paraId="5924B73F" w14:textId="580E2F71" w:rsidR="004C75E5" w:rsidRPr="00AE0B53" w:rsidRDefault="004C75E5" w:rsidP="00AA74D2">
            <w:pPr>
              <w:spacing w:after="0"/>
              <w:jc w:val="left"/>
              <w:rPr>
                <w:b/>
                <w:bCs/>
                <w:color w:val="FFFFFF" w:themeColor="background1"/>
              </w:rPr>
            </w:pPr>
            <w:r w:rsidRPr="002D6340">
              <w:rPr>
                <w:b/>
                <w:bCs/>
                <w:color w:val="FFFFFF" w:themeColor="background1"/>
              </w:rPr>
              <w:t>Regulating Services</w:t>
            </w:r>
          </w:p>
        </w:tc>
      </w:tr>
      <w:tr w:rsidR="00B859FA" w:rsidRPr="00CF117A" w14:paraId="64F562B4" w14:textId="77777777" w:rsidTr="00AA74D2">
        <w:tc>
          <w:tcPr>
            <w:tcW w:w="1809" w:type="dxa"/>
          </w:tcPr>
          <w:p w14:paraId="6268CB09" w14:textId="77777777" w:rsidR="00B859FA" w:rsidRPr="007E2BFD" w:rsidRDefault="00B859FA" w:rsidP="00AA74D2">
            <w:pPr>
              <w:spacing w:after="0"/>
              <w:jc w:val="left"/>
              <w:rPr>
                <w:b/>
                <w:bCs/>
              </w:rPr>
            </w:pPr>
            <w:r w:rsidRPr="007E2BFD">
              <w:rPr>
                <w:b/>
                <w:bCs/>
              </w:rPr>
              <w:t>Air pollution regulating</w:t>
            </w:r>
          </w:p>
        </w:tc>
        <w:tc>
          <w:tcPr>
            <w:tcW w:w="1904" w:type="dxa"/>
          </w:tcPr>
          <w:p w14:paraId="6941FD7F" w14:textId="77777777" w:rsidR="00B859FA" w:rsidRPr="00CF117A" w:rsidRDefault="00B859FA" w:rsidP="00AA74D2">
            <w:pPr>
              <w:spacing w:after="0"/>
              <w:jc w:val="left"/>
            </w:pPr>
            <w:r w:rsidRPr="00CF117A">
              <w:t>Tonnes air pollutant emissions removed per hectare by habitat type</w:t>
            </w:r>
          </w:p>
        </w:tc>
        <w:tc>
          <w:tcPr>
            <w:tcW w:w="1347" w:type="dxa"/>
          </w:tcPr>
          <w:p w14:paraId="2D2E6E04" w14:textId="147A709B"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23A6DA30" w14:textId="77777777" w:rsidR="00B859FA" w:rsidRPr="00CF117A" w:rsidRDefault="00B859FA" w:rsidP="00AA74D2">
            <w:pPr>
              <w:spacing w:after="0"/>
              <w:jc w:val="left"/>
            </w:pPr>
            <w:r w:rsidRPr="001C1599">
              <w:rPr>
                <w:bdr w:val="none" w:sz="0" w:space="0" w:color="auto" w:frame="1"/>
              </w:rPr>
              <w:t>Avoided health damage cost</w:t>
            </w:r>
            <w:r>
              <w:rPr>
                <w:bdr w:val="none" w:sz="0" w:space="0" w:color="auto" w:frame="1"/>
              </w:rPr>
              <w:t>, £ per tonne by pollutant</w:t>
            </w:r>
          </w:p>
        </w:tc>
        <w:tc>
          <w:tcPr>
            <w:tcW w:w="1414" w:type="dxa"/>
          </w:tcPr>
          <w:p w14:paraId="058BB4E2" w14:textId="6E64F462"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530D303D" w14:textId="77777777" w:rsidR="00B859FA" w:rsidRPr="00CF117A" w:rsidRDefault="00B859FA" w:rsidP="00AA74D2">
            <w:pPr>
              <w:spacing w:after="0"/>
              <w:jc w:val="left"/>
            </w:pPr>
            <w:r w:rsidRPr="001C1599">
              <w:rPr>
                <w:bdr w:val="none" w:sz="0" w:space="0" w:color="auto" w:frame="1"/>
              </w:rPr>
              <w:t>Jones et al. (2017)</w:t>
            </w:r>
            <w:r>
              <w:rPr>
                <w:bdr w:val="none" w:sz="0" w:space="0" w:color="auto" w:frame="1"/>
              </w:rPr>
              <w:t xml:space="preserve"> (re-published 2019), ONS (2024) </w:t>
            </w:r>
          </w:p>
        </w:tc>
        <w:tc>
          <w:tcPr>
            <w:tcW w:w="1555" w:type="dxa"/>
          </w:tcPr>
          <w:p w14:paraId="3C0074F8" w14:textId="77777777" w:rsidR="00B859FA" w:rsidRPr="00CF117A" w:rsidRDefault="00B859FA" w:rsidP="00AA74D2">
            <w:pPr>
              <w:spacing w:after="0"/>
              <w:jc w:val="left"/>
            </w:pPr>
            <w:r>
              <w:t xml:space="preserve">Health: </w:t>
            </w:r>
            <w:r>
              <w:rPr>
                <w:bdr w:val="none" w:sz="0" w:space="0" w:color="auto" w:frame="1"/>
              </w:rPr>
              <w:t>1.5%, declining after 30 years</w:t>
            </w:r>
          </w:p>
        </w:tc>
        <w:tc>
          <w:tcPr>
            <w:tcW w:w="2678" w:type="dxa"/>
          </w:tcPr>
          <w:p w14:paraId="78941BA4" w14:textId="77777777" w:rsidR="00B859FA" w:rsidRPr="00CF117A" w:rsidRDefault="00B859FA" w:rsidP="00AA74D2">
            <w:pPr>
              <w:spacing w:after="0"/>
              <w:jc w:val="left"/>
            </w:pPr>
            <w:r>
              <w:rPr>
                <w:bdr w:val="none" w:sz="0" w:space="0" w:color="auto" w:frame="1"/>
              </w:rPr>
              <w:t>Constant real value of pollutant removed per hectare over time</w:t>
            </w:r>
          </w:p>
        </w:tc>
      </w:tr>
      <w:tr w:rsidR="00B859FA" w14:paraId="75F32366" w14:textId="77777777" w:rsidTr="00AA74D2">
        <w:tc>
          <w:tcPr>
            <w:tcW w:w="1809" w:type="dxa"/>
          </w:tcPr>
          <w:p w14:paraId="34D8849C" w14:textId="77777777" w:rsidR="00B859FA" w:rsidRPr="007E2BFD" w:rsidRDefault="00B859FA" w:rsidP="00AA74D2">
            <w:pPr>
              <w:spacing w:after="0"/>
              <w:jc w:val="left"/>
              <w:rPr>
                <w:b/>
                <w:bCs/>
              </w:rPr>
            </w:pPr>
            <w:r w:rsidRPr="007E2BFD">
              <w:rPr>
                <w:b/>
                <w:bCs/>
              </w:rPr>
              <w:t>Greenhouse gas regulating</w:t>
            </w:r>
          </w:p>
        </w:tc>
        <w:tc>
          <w:tcPr>
            <w:tcW w:w="1904" w:type="dxa"/>
          </w:tcPr>
          <w:p w14:paraId="716419C1" w14:textId="77777777" w:rsidR="00B859FA" w:rsidRPr="00CF117A" w:rsidRDefault="00B859FA" w:rsidP="00AA74D2">
            <w:pPr>
              <w:spacing w:after="0"/>
              <w:jc w:val="left"/>
            </w:pPr>
            <w:r w:rsidRPr="00CF117A">
              <w:rPr>
                <w:bdr w:val="none" w:sz="0" w:space="0" w:color="auto" w:frame="1"/>
              </w:rPr>
              <w:t>Net carbon sequestration by habitat type, tCO2e/ha</w:t>
            </w:r>
          </w:p>
        </w:tc>
        <w:tc>
          <w:tcPr>
            <w:tcW w:w="1347" w:type="dxa"/>
          </w:tcPr>
          <w:p w14:paraId="73BA6E2C" w14:textId="383EAE6C"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03661E96" w14:textId="77777777" w:rsidR="000631AD" w:rsidRDefault="000631AD">
            <w:pPr>
              <w:spacing w:after="0"/>
              <w:jc w:val="left"/>
              <w:rPr>
                <w:kern w:val="2"/>
                <w14:ligatures w14:val="standardContextual"/>
              </w:rPr>
            </w:pPr>
            <w:r>
              <w:rPr>
                <w:bdr w:val="none" w:sz="0" w:space="0" w:color="auto" w:frame="1"/>
              </w:rPr>
              <w:t>Cost-based approach, marginal abatement cost to meet the UK net zero target by 2050, £/tCO2e</w:t>
            </w:r>
          </w:p>
          <w:p w14:paraId="283CED16" w14:textId="1B5ABF35" w:rsidR="00B859FA" w:rsidRPr="00CF117A" w:rsidRDefault="00B859FA" w:rsidP="00AA74D2">
            <w:pPr>
              <w:spacing w:after="0"/>
              <w:jc w:val="left"/>
            </w:pPr>
          </w:p>
        </w:tc>
        <w:tc>
          <w:tcPr>
            <w:tcW w:w="1414" w:type="dxa"/>
          </w:tcPr>
          <w:p w14:paraId="4C64463D" w14:textId="32004D70" w:rsidR="00B859FA" w:rsidRPr="00445F78" w:rsidRDefault="00B859FA" w:rsidP="00AA74D2">
            <w:pPr>
              <w:spacing w:after="0"/>
              <w:jc w:val="center"/>
              <w:rPr>
                <w:rFonts w:cstheme="majorHAnsi"/>
                <w:color w:val="000000"/>
                <w:szCs w:val="22"/>
              </w:rPr>
            </w:pPr>
            <w:r w:rsidRPr="00445F78">
              <w:rPr>
                <w:rFonts w:cstheme="majorHAnsi"/>
                <w:color w:val="000000"/>
                <w:szCs w:val="22"/>
              </w:rPr>
              <w:t>H</w:t>
            </w:r>
          </w:p>
        </w:tc>
        <w:tc>
          <w:tcPr>
            <w:tcW w:w="1846" w:type="dxa"/>
          </w:tcPr>
          <w:p w14:paraId="44603517" w14:textId="77777777" w:rsidR="00B859FA" w:rsidRPr="00CF117A" w:rsidRDefault="00B859FA" w:rsidP="00AA74D2">
            <w:pPr>
              <w:spacing w:after="0"/>
              <w:jc w:val="left"/>
            </w:pPr>
            <w:r w:rsidRPr="00CF117A">
              <w:rPr>
                <w:bdr w:val="none" w:sz="0" w:space="0" w:color="auto" w:frame="1"/>
              </w:rPr>
              <w:t>Evidence from ENCA 3.1 (2024):</w:t>
            </w:r>
            <w:r w:rsidRPr="00CF117A">
              <w:rPr>
                <w:b/>
                <w:bCs/>
                <w:bdr w:val="none" w:sz="0" w:space="0" w:color="auto" w:frame="1"/>
              </w:rPr>
              <w:t xml:space="preserve"> </w:t>
            </w:r>
            <w:r w:rsidRPr="00CF117A">
              <w:t>Natural England (2021), CEFAS (2021), ONS (2023), DESNZ and BEIS (2024)</w:t>
            </w:r>
          </w:p>
        </w:tc>
        <w:tc>
          <w:tcPr>
            <w:tcW w:w="1555" w:type="dxa"/>
          </w:tcPr>
          <w:p w14:paraId="39E193DD" w14:textId="77777777" w:rsidR="00B859FA" w:rsidRPr="00CF117A" w:rsidRDefault="00B859FA" w:rsidP="00AA74D2">
            <w:pPr>
              <w:spacing w:after="0"/>
              <w:jc w:val="left"/>
            </w:pPr>
            <w:r w:rsidRPr="00CF117A">
              <w:t>Standard: 3.5%, declining after 30 years</w:t>
            </w:r>
          </w:p>
        </w:tc>
        <w:tc>
          <w:tcPr>
            <w:tcW w:w="2678" w:type="dxa"/>
          </w:tcPr>
          <w:p w14:paraId="1DF25D54" w14:textId="77777777" w:rsidR="00B859FA" w:rsidRPr="00CF117A" w:rsidRDefault="00B859FA" w:rsidP="00AA74D2">
            <w:pPr>
              <w:spacing w:after="0"/>
              <w:jc w:val="left"/>
            </w:pPr>
            <w:r w:rsidRPr="00CF117A">
              <w:t>Increasing non-traded cost of carbon over time</w:t>
            </w:r>
          </w:p>
        </w:tc>
      </w:tr>
      <w:tr w:rsidR="00B859FA" w14:paraId="23D2C4AA" w14:textId="77777777" w:rsidTr="00AA74D2">
        <w:tc>
          <w:tcPr>
            <w:tcW w:w="1809" w:type="dxa"/>
          </w:tcPr>
          <w:p w14:paraId="0BA1EFA0" w14:textId="77777777" w:rsidR="00B859FA" w:rsidRPr="007E2BFD" w:rsidRDefault="00B859FA" w:rsidP="00AA74D2">
            <w:pPr>
              <w:spacing w:after="0"/>
              <w:jc w:val="left"/>
              <w:rPr>
                <w:b/>
                <w:bCs/>
              </w:rPr>
            </w:pPr>
            <w:r w:rsidRPr="007E2BFD">
              <w:rPr>
                <w:b/>
                <w:bCs/>
              </w:rPr>
              <w:t>Urban heat regulating</w:t>
            </w:r>
          </w:p>
        </w:tc>
        <w:tc>
          <w:tcPr>
            <w:tcW w:w="1904" w:type="dxa"/>
          </w:tcPr>
          <w:p w14:paraId="5E72926F" w14:textId="77777777" w:rsidR="00B859FA" w:rsidRDefault="00B859FA" w:rsidP="00AA74D2">
            <w:pPr>
              <w:spacing w:after="0"/>
              <w:jc w:val="left"/>
            </w:pPr>
            <w:r>
              <w:rPr>
                <w:bdr w:val="none" w:sz="0" w:space="0" w:color="auto" w:frame="1"/>
              </w:rPr>
              <w:t>N/A</w:t>
            </w:r>
          </w:p>
        </w:tc>
        <w:tc>
          <w:tcPr>
            <w:tcW w:w="1347" w:type="dxa"/>
          </w:tcPr>
          <w:p w14:paraId="2CD83A1A" w14:textId="57B633FC"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6C6886D6" w14:textId="77777777" w:rsidR="00B859FA" w:rsidRDefault="00B859FA" w:rsidP="00AA74D2">
            <w:pPr>
              <w:spacing w:after="0"/>
              <w:jc w:val="left"/>
            </w:pPr>
            <w:r w:rsidRPr="009A5D5C">
              <w:t>Avoided loss in labour productivity, £ saving due to urban cooling effect of canals</w:t>
            </w:r>
          </w:p>
        </w:tc>
        <w:tc>
          <w:tcPr>
            <w:tcW w:w="1414" w:type="dxa"/>
          </w:tcPr>
          <w:p w14:paraId="4C60373B" w14:textId="50A782A6" w:rsidR="00B859FA" w:rsidRPr="00445F78" w:rsidRDefault="00B859FA" w:rsidP="00AA74D2">
            <w:pPr>
              <w:spacing w:after="0"/>
              <w:jc w:val="center"/>
              <w:rPr>
                <w:rFonts w:cstheme="majorHAnsi"/>
                <w:color w:val="000000"/>
                <w:szCs w:val="22"/>
              </w:rPr>
            </w:pPr>
            <w:r w:rsidRPr="00445F78">
              <w:rPr>
                <w:rFonts w:cstheme="majorHAnsi"/>
                <w:color w:val="000000"/>
                <w:szCs w:val="22"/>
              </w:rPr>
              <w:t>L</w:t>
            </w:r>
          </w:p>
        </w:tc>
        <w:tc>
          <w:tcPr>
            <w:tcW w:w="1846" w:type="dxa"/>
          </w:tcPr>
          <w:p w14:paraId="51637472" w14:textId="77777777" w:rsidR="00B859FA" w:rsidRDefault="00B859FA" w:rsidP="00AA74D2">
            <w:pPr>
              <w:spacing w:after="0"/>
              <w:jc w:val="left"/>
              <w:rPr>
                <w:bdr w:val="none" w:sz="0" w:space="0" w:color="auto" w:frame="1"/>
              </w:rPr>
            </w:pPr>
            <w:r>
              <w:rPr>
                <w:bdr w:val="none" w:sz="0" w:space="0" w:color="auto" w:frame="1"/>
              </w:rPr>
              <w:t>Eftec (</w:t>
            </w:r>
            <w:r w:rsidRPr="00502705">
              <w:rPr>
                <w:bdr w:val="none" w:sz="0" w:space="0" w:color="auto" w:frame="1"/>
              </w:rPr>
              <w:t>201</w:t>
            </w:r>
            <w:r>
              <w:rPr>
                <w:bdr w:val="none" w:sz="0" w:space="0" w:color="auto" w:frame="1"/>
              </w:rPr>
              <w:t xml:space="preserve">8), ONS (2024), University of Manchester (2019), </w:t>
            </w:r>
            <w:r w:rsidRPr="000A0784">
              <w:rPr>
                <w:bdr w:val="none" w:sz="0" w:space="0" w:color="auto" w:frame="1"/>
              </w:rPr>
              <w:t xml:space="preserve">Costa et al., </w:t>
            </w:r>
            <w:r>
              <w:rPr>
                <w:bdr w:val="none" w:sz="0" w:space="0" w:color="auto" w:frame="1"/>
              </w:rPr>
              <w:t>(</w:t>
            </w:r>
            <w:r w:rsidRPr="000A0784">
              <w:rPr>
                <w:bdr w:val="none" w:sz="0" w:space="0" w:color="auto" w:frame="1"/>
              </w:rPr>
              <w:t>2016)</w:t>
            </w:r>
            <w:r>
              <w:rPr>
                <w:bdr w:val="none" w:sz="0" w:space="0" w:color="auto" w:frame="1"/>
              </w:rPr>
              <w:t>, Murphy et al., (2009)</w:t>
            </w:r>
          </w:p>
          <w:p w14:paraId="0109A9C5" w14:textId="77777777" w:rsidR="008506E2" w:rsidRDefault="008506E2" w:rsidP="00AA74D2">
            <w:pPr>
              <w:spacing w:after="0"/>
              <w:jc w:val="left"/>
            </w:pPr>
          </w:p>
        </w:tc>
        <w:tc>
          <w:tcPr>
            <w:tcW w:w="1555" w:type="dxa"/>
          </w:tcPr>
          <w:p w14:paraId="6AC29EF0" w14:textId="77777777" w:rsidR="00B859FA" w:rsidRDefault="00B859FA" w:rsidP="00AA74D2">
            <w:pPr>
              <w:spacing w:after="0"/>
              <w:jc w:val="left"/>
            </w:pPr>
            <w:r w:rsidRPr="00CF117A">
              <w:t>Standard: 3.5%, declining after 30 years</w:t>
            </w:r>
          </w:p>
        </w:tc>
        <w:tc>
          <w:tcPr>
            <w:tcW w:w="2678" w:type="dxa"/>
          </w:tcPr>
          <w:p w14:paraId="47585C1E" w14:textId="77777777" w:rsidR="00B859FA" w:rsidRDefault="00B859FA" w:rsidP="00AA74D2">
            <w:pPr>
              <w:spacing w:after="0"/>
              <w:jc w:val="left"/>
            </w:pPr>
            <w:r>
              <w:rPr>
                <w:bdr w:val="none" w:sz="0" w:space="0" w:color="auto" w:frame="1"/>
              </w:rPr>
              <w:t xml:space="preserve">Increasing temperatures in line with UKCP09, </w:t>
            </w:r>
            <w:r>
              <w:t>GVA uplift of 2% annually, decreasing to 1.5% for years 31 – 75, and 1% for years 76 – 100</w:t>
            </w:r>
          </w:p>
        </w:tc>
      </w:tr>
      <w:tr w:rsidR="004C75E5" w14:paraId="33796B17" w14:textId="77777777" w:rsidTr="00AA74D2">
        <w:trPr>
          <w:trHeight w:val="397"/>
        </w:trPr>
        <w:tc>
          <w:tcPr>
            <w:tcW w:w="14718" w:type="dxa"/>
            <w:gridSpan w:val="8"/>
            <w:shd w:val="clear" w:color="auto" w:fill="165BAA" w:themeFill="text2"/>
          </w:tcPr>
          <w:p w14:paraId="1D4D2461" w14:textId="76B2E389" w:rsidR="004C75E5" w:rsidRPr="00AE0B53" w:rsidRDefault="004C75E5" w:rsidP="00AA74D2">
            <w:pPr>
              <w:spacing w:after="0"/>
              <w:jc w:val="left"/>
              <w:rPr>
                <w:b/>
                <w:bCs/>
                <w:color w:val="FFFFFF" w:themeColor="background1"/>
              </w:rPr>
            </w:pPr>
            <w:r w:rsidRPr="002D6340">
              <w:rPr>
                <w:b/>
                <w:bCs/>
                <w:color w:val="FFFFFF" w:themeColor="background1"/>
              </w:rPr>
              <w:lastRenderedPageBreak/>
              <w:t>Cultural Ecosystem Services</w:t>
            </w:r>
          </w:p>
        </w:tc>
      </w:tr>
      <w:tr w:rsidR="00B859FA" w14:paraId="62DA0A6C" w14:textId="77777777" w:rsidTr="00AA74D2">
        <w:tc>
          <w:tcPr>
            <w:tcW w:w="1809" w:type="dxa"/>
          </w:tcPr>
          <w:p w14:paraId="540E20A1" w14:textId="77777777" w:rsidR="00B859FA" w:rsidRPr="007E2BFD" w:rsidRDefault="00B859FA" w:rsidP="00AA74D2">
            <w:pPr>
              <w:spacing w:after="0"/>
              <w:jc w:val="left"/>
              <w:rPr>
                <w:b/>
                <w:bCs/>
              </w:rPr>
            </w:pPr>
            <w:r w:rsidRPr="007E2BFD">
              <w:rPr>
                <w:b/>
                <w:bCs/>
              </w:rPr>
              <w:t>Recreation (enjoyment benefits)</w:t>
            </w:r>
          </w:p>
        </w:tc>
        <w:tc>
          <w:tcPr>
            <w:tcW w:w="1904" w:type="dxa"/>
          </w:tcPr>
          <w:p w14:paraId="3D06A112" w14:textId="77777777" w:rsidR="00B859FA" w:rsidRDefault="00B859FA" w:rsidP="00AA74D2">
            <w:pPr>
              <w:spacing w:after="0"/>
              <w:jc w:val="left"/>
            </w:pPr>
            <w:r>
              <w:rPr>
                <w:bdr w:val="none" w:sz="0" w:space="0" w:color="auto" w:frame="1"/>
              </w:rPr>
              <w:t>Number of unique visits per year</w:t>
            </w:r>
            <w:r>
              <w:rPr>
                <w:rStyle w:val="FootnoteReference"/>
                <w:bdr w:val="none" w:sz="0" w:space="0" w:color="auto" w:frame="1"/>
              </w:rPr>
              <w:footnoteReference w:id="4"/>
            </w:r>
          </w:p>
        </w:tc>
        <w:tc>
          <w:tcPr>
            <w:tcW w:w="1347" w:type="dxa"/>
          </w:tcPr>
          <w:p w14:paraId="671FD030" w14:textId="09988BF2"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425E0E8C" w14:textId="77777777" w:rsidR="00B859FA" w:rsidRDefault="00B859FA" w:rsidP="00AA74D2">
            <w:pPr>
              <w:spacing w:after="0"/>
              <w:jc w:val="left"/>
            </w:pPr>
            <w:r>
              <w:rPr>
                <w:bdr w:val="none" w:sz="0" w:space="0" w:color="auto" w:frame="1"/>
              </w:rPr>
              <w:t>Travel costs (ORVal)</w:t>
            </w:r>
          </w:p>
        </w:tc>
        <w:tc>
          <w:tcPr>
            <w:tcW w:w="1414" w:type="dxa"/>
          </w:tcPr>
          <w:p w14:paraId="07699934" w14:textId="0523B498"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2D60F6FD" w14:textId="3A6F09CF" w:rsidR="00B859FA" w:rsidRDefault="00452664" w:rsidP="00AA74D2">
            <w:pPr>
              <w:spacing w:after="0"/>
              <w:jc w:val="left"/>
            </w:pPr>
            <w:r w:rsidRPr="00CC5359">
              <w:t xml:space="preserve">ORVal </w:t>
            </w:r>
            <w:r>
              <w:t>(</w:t>
            </w:r>
            <w:r w:rsidRPr="00CC5359">
              <w:t>2018)</w:t>
            </w:r>
          </w:p>
        </w:tc>
        <w:tc>
          <w:tcPr>
            <w:tcW w:w="1555" w:type="dxa"/>
          </w:tcPr>
          <w:p w14:paraId="7BF0117D" w14:textId="77777777" w:rsidR="00B859FA" w:rsidRDefault="00B859FA" w:rsidP="00AA74D2">
            <w:pPr>
              <w:spacing w:after="0"/>
              <w:jc w:val="left"/>
            </w:pPr>
            <w:r w:rsidRPr="00CF117A">
              <w:t>Standard: 3.5%, declining after 30 years</w:t>
            </w:r>
          </w:p>
        </w:tc>
        <w:tc>
          <w:tcPr>
            <w:tcW w:w="2678" w:type="dxa"/>
          </w:tcPr>
          <w:p w14:paraId="43DBD07C" w14:textId="77777777" w:rsidR="00B859FA" w:rsidRDefault="00B859FA" w:rsidP="00AA74D2">
            <w:pPr>
              <w:spacing w:after="0"/>
              <w:jc w:val="left"/>
            </w:pPr>
            <w:r>
              <w:rPr>
                <w:bdr w:val="none" w:sz="0" w:space="0" w:color="auto" w:frame="1"/>
              </w:rPr>
              <w:t xml:space="preserve">Visits remain </w:t>
            </w:r>
            <w:r w:rsidRPr="00637DBD">
              <w:rPr>
                <w:bdr w:val="none" w:sz="0" w:space="0" w:color="auto" w:frame="1"/>
              </w:rPr>
              <w:t>constant</w:t>
            </w:r>
            <w:r>
              <w:rPr>
                <w:bdr w:val="none" w:sz="0" w:space="0" w:color="auto" w:frame="1"/>
              </w:rPr>
              <w:t xml:space="preserve"> over time</w:t>
            </w:r>
          </w:p>
        </w:tc>
      </w:tr>
      <w:tr w:rsidR="00B859FA" w14:paraId="2F682930" w14:textId="77777777" w:rsidTr="00AA74D2">
        <w:tc>
          <w:tcPr>
            <w:tcW w:w="1809" w:type="dxa"/>
          </w:tcPr>
          <w:p w14:paraId="61CEC838" w14:textId="77777777" w:rsidR="00B859FA" w:rsidRPr="007E2BFD" w:rsidRDefault="00B859FA" w:rsidP="00AA74D2">
            <w:pPr>
              <w:spacing w:after="0"/>
              <w:jc w:val="left"/>
              <w:rPr>
                <w:b/>
                <w:bCs/>
              </w:rPr>
            </w:pPr>
            <w:r w:rsidRPr="007E2BFD">
              <w:rPr>
                <w:b/>
                <w:bCs/>
              </w:rPr>
              <w:t>Recreation (health cost savings)</w:t>
            </w:r>
          </w:p>
        </w:tc>
        <w:tc>
          <w:tcPr>
            <w:tcW w:w="1904" w:type="dxa"/>
          </w:tcPr>
          <w:p w14:paraId="54E3F744" w14:textId="77777777" w:rsidR="00B859FA" w:rsidRDefault="00B859FA" w:rsidP="00AA74D2">
            <w:pPr>
              <w:spacing w:after="0"/>
              <w:jc w:val="left"/>
            </w:pPr>
            <w:r w:rsidRPr="00873009">
              <w:t>Number of active visits per year</w:t>
            </w:r>
            <w:r>
              <w:rPr>
                <w:rStyle w:val="FootnoteReference"/>
              </w:rPr>
              <w:footnoteReference w:id="5"/>
            </w:r>
          </w:p>
        </w:tc>
        <w:tc>
          <w:tcPr>
            <w:tcW w:w="1347" w:type="dxa"/>
          </w:tcPr>
          <w:p w14:paraId="44336CB0" w14:textId="3C3D89DF"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4891CD42" w14:textId="77777777" w:rsidR="00B859FA" w:rsidRDefault="00B859FA" w:rsidP="00AA74D2">
            <w:pPr>
              <w:spacing w:after="0"/>
              <w:jc w:val="left"/>
            </w:pPr>
            <w:r>
              <w:rPr>
                <w:bdr w:val="none" w:sz="0" w:space="0" w:color="auto" w:frame="1"/>
              </w:rPr>
              <w:t>A</w:t>
            </w:r>
            <w:r w:rsidRPr="004C302B">
              <w:rPr>
                <w:bdr w:val="none" w:sz="0" w:space="0" w:color="auto" w:frame="1"/>
              </w:rPr>
              <w:t xml:space="preserve">voided </w:t>
            </w:r>
            <w:r>
              <w:rPr>
                <w:bdr w:val="none" w:sz="0" w:space="0" w:color="auto" w:frame="1"/>
              </w:rPr>
              <w:t xml:space="preserve">NHS </w:t>
            </w:r>
            <w:r w:rsidRPr="004C302B">
              <w:rPr>
                <w:bdr w:val="none" w:sz="0" w:space="0" w:color="auto" w:frame="1"/>
              </w:rPr>
              <w:t>health costs</w:t>
            </w:r>
            <w:r>
              <w:rPr>
                <w:bdr w:val="none" w:sz="0" w:space="0" w:color="auto" w:frame="1"/>
              </w:rPr>
              <w:t>, £ per active visit</w:t>
            </w:r>
          </w:p>
        </w:tc>
        <w:tc>
          <w:tcPr>
            <w:tcW w:w="1414" w:type="dxa"/>
          </w:tcPr>
          <w:p w14:paraId="4B079F6C" w14:textId="45D3DD59"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1C7C49DA" w14:textId="77777777" w:rsidR="00B859FA" w:rsidRDefault="00B859FA" w:rsidP="00AA74D2">
            <w:pPr>
              <w:spacing w:after="0"/>
              <w:jc w:val="left"/>
            </w:pPr>
            <w:r w:rsidRPr="00502705">
              <w:rPr>
                <w:bdr w:val="none" w:sz="0" w:space="0" w:color="auto" w:frame="1"/>
              </w:rPr>
              <w:t>White et al</w:t>
            </w:r>
            <w:r>
              <w:rPr>
                <w:bdr w:val="none" w:sz="0" w:space="0" w:color="auto" w:frame="1"/>
              </w:rPr>
              <w:t>., (</w:t>
            </w:r>
            <w:r w:rsidRPr="00502705">
              <w:rPr>
                <w:bdr w:val="none" w:sz="0" w:space="0" w:color="auto" w:frame="1"/>
              </w:rPr>
              <w:t>2016</w:t>
            </w:r>
            <w:r>
              <w:rPr>
                <w:bdr w:val="none" w:sz="0" w:space="0" w:color="auto" w:frame="1"/>
              </w:rPr>
              <w:t>)</w:t>
            </w:r>
          </w:p>
        </w:tc>
        <w:tc>
          <w:tcPr>
            <w:tcW w:w="1555" w:type="dxa"/>
          </w:tcPr>
          <w:p w14:paraId="6729E0BF" w14:textId="77777777" w:rsidR="00B859FA" w:rsidRDefault="00B859FA" w:rsidP="00AA74D2">
            <w:pPr>
              <w:spacing w:after="0"/>
              <w:jc w:val="left"/>
            </w:pPr>
            <w:r w:rsidRPr="00CF117A">
              <w:t>Standard: 3.5%, declining after 30 years</w:t>
            </w:r>
          </w:p>
        </w:tc>
        <w:tc>
          <w:tcPr>
            <w:tcW w:w="2678" w:type="dxa"/>
          </w:tcPr>
          <w:p w14:paraId="4C9FF433" w14:textId="77777777" w:rsidR="00B859FA" w:rsidRDefault="00B859FA" w:rsidP="00AA74D2">
            <w:pPr>
              <w:spacing w:after="0"/>
              <w:jc w:val="left"/>
            </w:pPr>
            <w:r>
              <w:rPr>
                <w:bdr w:val="none" w:sz="0" w:space="0" w:color="auto" w:frame="1"/>
              </w:rPr>
              <w:t xml:space="preserve">Active visits remain </w:t>
            </w:r>
            <w:r w:rsidRPr="00637DBD">
              <w:rPr>
                <w:bdr w:val="none" w:sz="0" w:space="0" w:color="auto" w:frame="1"/>
              </w:rPr>
              <w:t>constant</w:t>
            </w:r>
            <w:r>
              <w:rPr>
                <w:bdr w:val="none" w:sz="0" w:space="0" w:color="auto" w:frame="1"/>
              </w:rPr>
              <w:t xml:space="preserve"> over the 100-year period</w:t>
            </w:r>
          </w:p>
        </w:tc>
      </w:tr>
      <w:tr w:rsidR="00B859FA" w14:paraId="4BA8791E" w14:textId="77777777" w:rsidTr="00AA74D2">
        <w:tc>
          <w:tcPr>
            <w:tcW w:w="1809" w:type="dxa"/>
          </w:tcPr>
          <w:p w14:paraId="4A00D60D" w14:textId="77777777" w:rsidR="00B859FA" w:rsidRPr="007E2BFD" w:rsidRDefault="00B859FA" w:rsidP="00AA74D2">
            <w:pPr>
              <w:spacing w:after="0"/>
              <w:jc w:val="left"/>
              <w:rPr>
                <w:b/>
                <w:bCs/>
              </w:rPr>
            </w:pPr>
            <w:r w:rsidRPr="007E2BFD">
              <w:rPr>
                <w:b/>
                <w:bCs/>
              </w:rPr>
              <w:t>Tourism</w:t>
            </w:r>
          </w:p>
        </w:tc>
        <w:tc>
          <w:tcPr>
            <w:tcW w:w="1904" w:type="dxa"/>
          </w:tcPr>
          <w:p w14:paraId="1D2092BB" w14:textId="77777777" w:rsidR="00B859FA" w:rsidRDefault="00B859FA" w:rsidP="00AA74D2">
            <w:pPr>
              <w:spacing w:after="0"/>
              <w:jc w:val="left"/>
            </w:pPr>
            <w:r>
              <w:rPr>
                <w:bdr w:val="none" w:sz="0" w:space="0" w:color="auto" w:frame="1"/>
              </w:rPr>
              <w:t>Domestic v</w:t>
            </w:r>
            <w:r w:rsidRPr="00834ED4">
              <w:rPr>
                <w:bdr w:val="none" w:sz="0" w:space="0" w:color="auto" w:frame="1"/>
              </w:rPr>
              <w:t xml:space="preserve">isits </w:t>
            </w:r>
            <w:r>
              <w:rPr>
                <w:bdr w:val="none" w:sz="0" w:space="0" w:color="auto" w:frame="1"/>
              </w:rPr>
              <w:t>per year that are 3+ hours long</w:t>
            </w:r>
            <w:r>
              <w:rPr>
                <w:rStyle w:val="FootnoteReference"/>
                <w:bdr w:val="none" w:sz="0" w:space="0" w:color="auto" w:frame="1"/>
              </w:rPr>
              <w:footnoteReference w:id="6"/>
            </w:r>
          </w:p>
        </w:tc>
        <w:tc>
          <w:tcPr>
            <w:tcW w:w="1347" w:type="dxa"/>
          </w:tcPr>
          <w:p w14:paraId="00094B09" w14:textId="1FDF0A61"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05A9D9E4" w14:textId="7C3BB128" w:rsidR="00B859FA" w:rsidRDefault="00452664" w:rsidP="00AA74D2">
            <w:pPr>
              <w:spacing w:after="0"/>
              <w:jc w:val="left"/>
            </w:pPr>
            <w:r>
              <w:rPr>
                <w:bdr w:val="none" w:sz="0" w:space="0" w:color="auto" w:frame="1"/>
              </w:rPr>
              <w:t>Travel costs (ORVal)</w:t>
            </w:r>
            <w:r w:rsidR="00B859FA" w:rsidRPr="00DF3F48">
              <w:t xml:space="preserve">  </w:t>
            </w:r>
          </w:p>
        </w:tc>
        <w:tc>
          <w:tcPr>
            <w:tcW w:w="1414" w:type="dxa"/>
          </w:tcPr>
          <w:p w14:paraId="4B13E22F" w14:textId="6BDF66A9"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6018BE04" w14:textId="4BFB45CD" w:rsidR="00B859FA" w:rsidRDefault="00B859FA" w:rsidP="00AA74D2">
            <w:pPr>
              <w:spacing w:after="0"/>
              <w:jc w:val="left"/>
            </w:pPr>
            <w:r w:rsidRPr="00CC5359">
              <w:t xml:space="preserve">ORVal </w:t>
            </w:r>
            <w:r>
              <w:t>(</w:t>
            </w:r>
            <w:r w:rsidRPr="00CC5359">
              <w:t>2018)</w:t>
            </w:r>
          </w:p>
        </w:tc>
        <w:tc>
          <w:tcPr>
            <w:tcW w:w="1555" w:type="dxa"/>
          </w:tcPr>
          <w:p w14:paraId="303E9684" w14:textId="77777777" w:rsidR="00B859FA" w:rsidRDefault="00B859FA" w:rsidP="00AA74D2">
            <w:pPr>
              <w:spacing w:after="0"/>
              <w:jc w:val="left"/>
            </w:pPr>
            <w:r w:rsidRPr="00CF117A">
              <w:t>Standard: 3.5%, declining after 30 years</w:t>
            </w:r>
          </w:p>
        </w:tc>
        <w:tc>
          <w:tcPr>
            <w:tcW w:w="2678" w:type="dxa"/>
          </w:tcPr>
          <w:p w14:paraId="6C21117A" w14:textId="77777777" w:rsidR="00B859FA" w:rsidRDefault="00B859FA" w:rsidP="00AA74D2">
            <w:pPr>
              <w:spacing w:after="0"/>
              <w:jc w:val="left"/>
            </w:pPr>
            <w:r>
              <w:rPr>
                <w:bdr w:val="none" w:sz="0" w:space="0" w:color="auto" w:frame="1"/>
              </w:rPr>
              <w:t xml:space="preserve">Domestic tourism visits remain </w:t>
            </w:r>
            <w:r w:rsidRPr="00637DBD">
              <w:rPr>
                <w:bdr w:val="none" w:sz="0" w:space="0" w:color="auto" w:frame="1"/>
              </w:rPr>
              <w:t>constant</w:t>
            </w:r>
            <w:r>
              <w:rPr>
                <w:bdr w:val="none" w:sz="0" w:space="0" w:color="auto" w:frame="1"/>
              </w:rPr>
              <w:t xml:space="preserve"> over the 100-year period</w:t>
            </w:r>
          </w:p>
        </w:tc>
      </w:tr>
      <w:tr w:rsidR="00B859FA" w14:paraId="520E37BB" w14:textId="77777777" w:rsidTr="00AA74D2">
        <w:tc>
          <w:tcPr>
            <w:tcW w:w="1809" w:type="dxa"/>
          </w:tcPr>
          <w:p w14:paraId="193B6139" w14:textId="77777777" w:rsidR="00B859FA" w:rsidRPr="007E2BFD" w:rsidRDefault="00B859FA" w:rsidP="00AA74D2">
            <w:pPr>
              <w:spacing w:after="0"/>
              <w:jc w:val="left"/>
              <w:rPr>
                <w:b/>
                <w:bCs/>
              </w:rPr>
            </w:pPr>
            <w:r w:rsidRPr="007E2BFD">
              <w:rPr>
                <w:b/>
                <w:bCs/>
              </w:rPr>
              <w:t>Aesthetic and recreation (house prices)</w:t>
            </w:r>
          </w:p>
        </w:tc>
        <w:tc>
          <w:tcPr>
            <w:tcW w:w="1904" w:type="dxa"/>
          </w:tcPr>
          <w:p w14:paraId="160D7BB6" w14:textId="77777777" w:rsidR="00B859FA" w:rsidRDefault="00B859FA" w:rsidP="00AA74D2">
            <w:pPr>
              <w:spacing w:after="0"/>
              <w:jc w:val="left"/>
            </w:pPr>
            <w:r w:rsidRPr="008D0C72">
              <w:t>Number of households living within 100m of a canal</w:t>
            </w:r>
          </w:p>
        </w:tc>
        <w:tc>
          <w:tcPr>
            <w:tcW w:w="1347" w:type="dxa"/>
          </w:tcPr>
          <w:p w14:paraId="063347F0" w14:textId="4A9DE0F6" w:rsidR="00B859FA" w:rsidRPr="00445F78" w:rsidRDefault="00B859FA" w:rsidP="00AA74D2">
            <w:pPr>
              <w:spacing w:after="0"/>
              <w:jc w:val="center"/>
              <w:rPr>
                <w:rFonts w:cstheme="majorHAnsi"/>
                <w:color w:val="000000"/>
                <w:szCs w:val="22"/>
              </w:rPr>
            </w:pPr>
            <w:r w:rsidRPr="00445F78">
              <w:rPr>
                <w:rFonts w:cstheme="majorHAnsi"/>
                <w:color w:val="000000"/>
                <w:szCs w:val="22"/>
              </w:rPr>
              <w:t>H</w:t>
            </w:r>
          </w:p>
        </w:tc>
        <w:tc>
          <w:tcPr>
            <w:tcW w:w="2165" w:type="dxa"/>
          </w:tcPr>
          <w:p w14:paraId="1E4FAAD8" w14:textId="77777777" w:rsidR="00B859FA" w:rsidRDefault="00B859FA" w:rsidP="00AA74D2">
            <w:pPr>
              <w:spacing w:after="0"/>
              <w:jc w:val="left"/>
            </w:pPr>
            <w:r>
              <w:rPr>
                <w:bdr w:val="none" w:sz="0" w:space="0" w:color="auto" w:frame="1"/>
              </w:rPr>
              <w:t>Hedonic pricing, house price premium, £ per household</w:t>
            </w:r>
          </w:p>
        </w:tc>
        <w:tc>
          <w:tcPr>
            <w:tcW w:w="1414" w:type="dxa"/>
          </w:tcPr>
          <w:p w14:paraId="623E5A72" w14:textId="74725E99"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67D2BC08" w14:textId="77777777" w:rsidR="000631AD" w:rsidRDefault="000631AD">
            <w:pPr>
              <w:spacing w:after="0"/>
              <w:jc w:val="left"/>
              <w:rPr>
                <w:kern w:val="2"/>
                <w14:ligatures w14:val="standardContextual"/>
              </w:rPr>
            </w:pPr>
            <w:r>
              <w:rPr>
                <w:bdr w:val="none" w:sz="0" w:space="0" w:color="auto" w:frame="1"/>
              </w:rPr>
              <w:t>Gibbons et al. (2021)</w:t>
            </w:r>
          </w:p>
          <w:p w14:paraId="7159DD02" w14:textId="1251D12F" w:rsidR="00B859FA" w:rsidRDefault="00B859FA" w:rsidP="00AA74D2">
            <w:pPr>
              <w:spacing w:after="0"/>
              <w:jc w:val="left"/>
            </w:pPr>
          </w:p>
        </w:tc>
        <w:tc>
          <w:tcPr>
            <w:tcW w:w="1555" w:type="dxa"/>
          </w:tcPr>
          <w:p w14:paraId="1F808CF1" w14:textId="77777777" w:rsidR="00B859FA" w:rsidRDefault="00B859FA" w:rsidP="00AA74D2">
            <w:pPr>
              <w:spacing w:after="0"/>
              <w:jc w:val="left"/>
            </w:pPr>
            <w:r w:rsidRPr="00CF117A">
              <w:t>Standard: 3.5%, declining after 30 years</w:t>
            </w:r>
          </w:p>
        </w:tc>
        <w:tc>
          <w:tcPr>
            <w:tcW w:w="2678" w:type="dxa"/>
          </w:tcPr>
          <w:p w14:paraId="21ABACBB" w14:textId="77777777" w:rsidR="00B859FA" w:rsidRDefault="00B859FA" w:rsidP="00AA74D2">
            <w:pPr>
              <w:spacing w:after="0"/>
              <w:jc w:val="left"/>
            </w:pPr>
            <w:r w:rsidRPr="00FA3D8E">
              <w:t>Number of houses within 100m of a canal remains constant. Aggregate price premiums are annualised over a 60-year period to estimate equivalent annual flows.</w:t>
            </w:r>
          </w:p>
        </w:tc>
      </w:tr>
      <w:tr w:rsidR="00B859FA" w14:paraId="7C112FFA" w14:textId="77777777" w:rsidTr="00267D1F">
        <w:tc>
          <w:tcPr>
            <w:tcW w:w="1809" w:type="dxa"/>
          </w:tcPr>
          <w:p w14:paraId="067CEAD0" w14:textId="77777777" w:rsidR="00B859FA" w:rsidRPr="007E2BFD" w:rsidRDefault="00B859FA" w:rsidP="00AA74D2">
            <w:pPr>
              <w:spacing w:after="0"/>
              <w:jc w:val="left"/>
              <w:rPr>
                <w:b/>
                <w:bCs/>
              </w:rPr>
            </w:pPr>
            <w:r w:rsidRPr="007E2BFD">
              <w:rPr>
                <w:b/>
                <w:bCs/>
              </w:rPr>
              <w:t xml:space="preserve">Volunteering </w:t>
            </w:r>
          </w:p>
        </w:tc>
        <w:tc>
          <w:tcPr>
            <w:tcW w:w="1904" w:type="dxa"/>
          </w:tcPr>
          <w:p w14:paraId="0148D3EE" w14:textId="77777777" w:rsidR="00B859FA" w:rsidRDefault="00B859FA" w:rsidP="00AA74D2">
            <w:pPr>
              <w:spacing w:after="0"/>
              <w:jc w:val="left"/>
            </w:pPr>
            <w:r w:rsidRPr="005E261D">
              <w:t>Number of volunteer hours</w:t>
            </w:r>
          </w:p>
        </w:tc>
        <w:tc>
          <w:tcPr>
            <w:tcW w:w="1347" w:type="dxa"/>
          </w:tcPr>
          <w:p w14:paraId="3BC38923" w14:textId="25CC2046" w:rsidR="00B859FA" w:rsidRPr="00445F78" w:rsidRDefault="00B859FA" w:rsidP="00AA74D2">
            <w:pPr>
              <w:spacing w:after="0"/>
              <w:jc w:val="center"/>
              <w:rPr>
                <w:rFonts w:cstheme="majorHAnsi"/>
                <w:color w:val="000000"/>
                <w:szCs w:val="22"/>
              </w:rPr>
            </w:pPr>
            <w:r w:rsidRPr="00445F78">
              <w:rPr>
                <w:rFonts w:cstheme="majorHAnsi"/>
                <w:color w:val="000000"/>
                <w:szCs w:val="22"/>
              </w:rPr>
              <w:t>H</w:t>
            </w:r>
          </w:p>
        </w:tc>
        <w:tc>
          <w:tcPr>
            <w:tcW w:w="2165" w:type="dxa"/>
          </w:tcPr>
          <w:p w14:paraId="61F704EF" w14:textId="77777777" w:rsidR="00B859FA" w:rsidRDefault="00B859FA" w:rsidP="00AA74D2">
            <w:pPr>
              <w:spacing w:after="0"/>
              <w:jc w:val="left"/>
            </w:pPr>
            <w:r>
              <w:rPr>
                <w:bdr w:val="none" w:sz="0" w:space="0" w:color="auto" w:frame="1"/>
              </w:rPr>
              <w:t>Replacement wage approach</w:t>
            </w:r>
          </w:p>
        </w:tc>
        <w:tc>
          <w:tcPr>
            <w:tcW w:w="1414" w:type="dxa"/>
          </w:tcPr>
          <w:p w14:paraId="0786D8EA" w14:textId="62A40180" w:rsidR="00B859FA" w:rsidRPr="00445F78" w:rsidRDefault="00B859FA" w:rsidP="00AA74D2">
            <w:pPr>
              <w:spacing w:after="0"/>
              <w:jc w:val="center"/>
              <w:rPr>
                <w:rFonts w:cstheme="majorHAnsi"/>
                <w:color w:val="000000"/>
                <w:szCs w:val="22"/>
              </w:rPr>
            </w:pPr>
            <w:r w:rsidRPr="00445F78">
              <w:rPr>
                <w:rFonts w:cstheme="majorHAnsi"/>
                <w:color w:val="000000"/>
                <w:szCs w:val="22"/>
              </w:rPr>
              <w:t>H</w:t>
            </w:r>
          </w:p>
        </w:tc>
        <w:tc>
          <w:tcPr>
            <w:tcW w:w="1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853CDC" w14:textId="7A7C8C2A" w:rsidR="00B859FA" w:rsidRDefault="00267D1F" w:rsidP="00267D1F">
            <w:pPr>
              <w:spacing w:after="0"/>
              <w:jc w:val="left"/>
            </w:pPr>
            <w:r>
              <w:rPr>
                <w:bdr w:val="none" w:sz="0" w:space="0" w:color="auto" w:frame="1"/>
              </w:rPr>
              <w:t>ONS (2017b), Lawton et al. (2021)</w:t>
            </w:r>
          </w:p>
        </w:tc>
        <w:tc>
          <w:tcPr>
            <w:tcW w:w="1555" w:type="dxa"/>
          </w:tcPr>
          <w:p w14:paraId="7E7CA8C6" w14:textId="77777777" w:rsidR="00B859FA" w:rsidRDefault="00B859FA" w:rsidP="00AA74D2">
            <w:pPr>
              <w:spacing w:after="0"/>
              <w:jc w:val="left"/>
            </w:pPr>
            <w:r w:rsidRPr="00CF117A">
              <w:t>Standard: 3.5%, declining after 30 years</w:t>
            </w:r>
          </w:p>
        </w:tc>
        <w:tc>
          <w:tcPr>
            <w:tcW w:w="2678" w:type="dxa"/>
          </w:tcPr>
          <w:p w14:paraId="0F63A081" w14:textId="77777777" w:rsidR="00B859FA" w:rsidRDefault="00B859FA" w:rsidP="00AA74D2">
            <w:pPr>
              <w:spacing w:after="0"/>
              <w:jc w:val="left"/>
            </w:pPr>
            <w:r>
              <w:rPr>
                <w:bdr w:val="none" w:sz="0" w:space="0" w:color="auto" w:frame="1"/>
              </w:rPr>
              <w:t>Volunteer hours / number of volunteers remain constant over the 100-year period</w:t>
            </w:r>
          </w:p>
        </w:tc>
      </w:tr>
      <w:tr w:rsidR="00B859FA" w14:paraId="558A3BB3" w14:textId="77777777" w:rsidTr="00AA74D2">
        <w:tc>
          <w:tcPr>
            <w:tcW w:w="1809" w:type="dxa"/>
          </w:tcPr>
          <w:p w14:paraId="3A6A9616" w14:textId="77777777" w:rsidR="00B859FA" w:rsidRPr="007E2BFD" w:rsidRDefault="00B859FA" w:rsidP="00AA74D2">
            <w:pPr>
              <w:spacing w:after="0"/>
              <w:jc w:val="left"/>
              <w:rPr>
                <w:b/>
                <w:bCs/>
              </w:rPr>
            </w:pPr>
            <w:r w:rsidRPr="007E2BFD">
              <w:rPr>
                <w:b/>
                <w:bCs/>
              </w:rPr>
              <w:t>Education</w:t>
            </w:r>
          </w:p>
        </w:tc>
        <w:tc>
          <w:tcPr>
            <w:tcW w:w="1904" w:type="dxa"/>
          </w:tcPr>
          <w:p w14:paraId="260CA508" w14:textId="77777777" w:rsidR="00B859FA" w:rsidRDefault="00B859FA" w:rsidP="00AA74D2">
            <w:pPr>
              <w:spacing w:after="0"/>
              <w:jc w:val="left"/>
            </w:pPr>
            <w:r w:rsidRPr="00607F29">
              <w:t>Number of participant hours per year</w:t>
            </w:r>
          </w:p>
        </w:tc>
        <w:tc>
          <w:tcPr>
            <w:tcW w:w="1347" w:type="dxa"/>
          </w:tcPr>
          <w:p w14:paraId="1D7DA167" w14:textId="22FEEE48"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4E23F1FB" w14:textId="77777777" w:rsidR="00B859FA" w:rsidRDefault="00B859FA" w:rsidP="00AA74D2">
            <w:pPr>
              <w:spacing w:after="0"/>
              <w:jc w:val="left"/>
            </w:pPr>
            <w:r w:rsidRPr="00F434DE">
              <w:t>Travel cost method, £ per pupil hour</w:t>
            </w:r>
          </w:p>
        </w:tc>
        <w:tc>
          <w:tcPr>
            <w:tcW w:w="1414" w:type="dxa"/>
          </w:tcPr>
          <w:p w14:paraId="0F152CE7" w14:textId="48DA7752"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54070E5D" w14:textId="77777777" w:rsidR="00B859FA" w:rsidRDefault="00B859FA" w:rsidP="00AA74D2">
            <w:pPr>
              <w:spacing w:after="0"/>
              <w:jc w:val="left"/>
            </w:pPr>
            <w:r w:rsidRPr="00FF62D2">
              <w:t>Mourato (2010)</w:t>
            </w:r>
          </w:p>
        </w:tc>
        <w:tc>
          <w:tcPr>
            <w:tcW w:w="1555" w:type="dxa"/>
          </w:tcPr>
          <w:p w14:paraId="2DBEDA02" w14:textId="77777777" w:rsidR="00B859FA" w:rsidRDefault="00B859FA" w:rsidP="00AA74D2">
            <w:pPr>
              <w:spacing w:after="0"/>
              <w:jc w:val="left"/>
            </w:pPr>
            <w:r w:rsidRPr="00CF117A">
              <w:t>Standard: 3.5%, declining after 30 years</w:t>
            </w:r>
          </w:p>
        </w:tc>
        <w:tc>
          <w:tcPr>
            <w:tcW w:w="2678" w:type="dxa"/>
          </w:tcPr>
          <w:p w14:paraId="23CD01CE" w14:textId="77777777" w:rsidR="000631AD" w:rsidRDefault="000631AD">
            <w:pPr>
              <w:spacing w:after="0"/>
              <w:jc w:val="left"/>
              <w:rPr>
                <w:kern w:val="2"/>
                <w14:ligatures w14:val="standardContextual"/>
              </w:rPr>
            </w:pPr>
            <w:r>
              <w:t>Education programme continues at current scale over the 100-year period</w:t>
            </w:r>
          </w:p>
          <w:p w14:paraId="0DBE3880" w14:textId="4A791FFD" w:rsidR="00B859FA" w:rsidRDefault="00B859FA" w:rsidP="00AA74D2">
            <w:pPr>
              <w:spacing w:after="0"/>
              <w:jc w:val="left"/>
            </w:pPr>
          </w:p>
        </w:tc>
      </w:tr>
    </w:tbl>
    <w:p w14:paraId="426DA1FD" w14:textId="6D0A2D1F" w:rsidR="00165450" w:rsidRDefault="00165450" w:rsidP="00B7455D">
      <w:pPr>
        <w:sectPr w:rsidR="00165450" w:rsidSect="00D35EE6">
          <w:pgSz w:w="16838" w:h="11906" w:orient="landscape" w:code="9"/>
          <w:pgMar w:top="1021" w:right="692" w:bottom="1021" w:left="1418" w:header="709" w:footer="709" w:gutter="0"/>
          <w:cols w:space="708"/>
          <w:docGrid w:linePitch="360"/>
        </w:sectPr>
      </w:pPr>
    </w:p>
    <w:p w14:paraId="57089F2E" w14:textId="29D7628B" w:rsidR="00B7455D" w:rsidRPr="00165450" w:rsidRDefault="006317CC" w:rsidP="00165450">
      <w:r>
        <w:rPr>
          <w:noProof/>
        </w:rPr>
        <w:lastRenderedPageBreak/>
        <mc:AlternateContent>
          <mc:Choice Requires="wps">
            <w:drawing>
              <wp:anchor distT="0" distB="0" distL="114300" distR="114300" simplePos="0" relativeHeight="251662352" behindDoc="0" locked="0" layoutInCell="1" allowOverlap="1" wp14:anchorId="46EC2E43" wp14:editId="3D863A20">
                <wp:simplePos x="0" y="0"/>
                <wp:positionH relativeFrom="column">
                  <wp:posOffset>-387985</wp:posOffset>
                </wp:positionH>
                <wp:positionV relativeFrom="paragraph">
                  <wp:posOffset>1637030</wp:posOffset>
                </wp:positionV>
                <wp:extent cx="6591300" cy="1073150"/>
                <wp:effectExtent l="0" t="0" r="0" b="0"/>
                <wp:wrapNone/>
                <wp:docPr id="1166847615" name="Text Box 20"/>
                <wp:cNvGraphicFramePr/>
                <a:graphic xmlns:a="http://schemas.openxmlformats.org/drawingml/2006/main">
                  <a:graphicData uri="http://schemas.microsoft.com/office/word/2010/wordprocessingShape">
                    <wps:wsp>
                      <wps:cNvSpPr txBox="1"/>
                      <wps:spPr>
                        <a:xfrm>
                          <a:off x="0" y="0"/>
                          <a:ext cx="6591300" cy="1073150"/>
                        </a:xfrm>
                        <a:prstGeom prst="rect">
                          <a:avLst/>
                        </a:prstGeom>
                        <a:noFill/>
                        <a:ln w="6350">
                          <a:noFill/>
                        </a:ln>
                      </wps:spPr>
                      <wps:txbx>
                        <w:txbxContent>
                          <w:p w14:paraId="1FB0B3C6" w14:textId="77777777" w:rsidR="006317CC" w:rsidRDefault="006317CC" w:rsidP="006317CC">
                            <w:pPr>
                              <w:spacing w:after="0"/>
                              <w:rPr>
                                <w:color w:val="FFFFFF" w:themeColor="background1"/>
                              </w:rPr>
                            </w:pPr>
                            <w:r w:rsidRPr="00CC74F7">
                              <w:rPr>
                                <w:color w:val="FFFFFF" w:themeColor="background1"/>
                              </w:rPr>
                              <w:t xml:space="preserve">For any queries, please contact Brenda Dorpalen (Insights and </w:t>
                            </w:r>
                            <w:r>
                              <w:rPr>
                                <w:color w:val="FFFFFF" w:themeColor="background1"/>
                              </w:rPr>
                              <w:t>Economics Team Manager)</w:t>
                            </w:r>
                            <w:r w:rsidRPr="00CC74F7">
                              <w:rPr>
                                <w:color w:val="FFFFFF" w:themeColor="background1"/>
                              </w:rPr>
                              <w:t xml:space="preserve"> at </w:t>
                            </w:r>
                          </w:p>
                          <w:p w14:paraId="58ED8161" w14:textId="77777777" w:rsidR="006317CC" w:rsidRPr="00CC74F7" w:rsidRDefault="006317CC" w:rsidP="006317CC">
                            <w:pPr>
                              <w:spacing w:after="0"/>
                              <w:rPr>
                                <w:color w:val="FFFFFF" w:themeColor="background1"/>
                              </w:rPr>
                            </w:pPr>
                            <w:r w:rsidRPr="00CC74F7">
                              <w:rPr>
                                <w:color w:val="FFFFFF" w:themeColor="background1"/>
                              </w:rPr>
                              <w:t>Brenda.Dorpalen@canalrivertrust.org.uk</w:t>
                            </w:r>
                          </w:p>
                          <w:p w14:paraId="7C72CECA" w14:textId="77777777" w:rsidR="006317CC" w:rsidRDefault="006317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C2E43" id="Text Box 20" o:spid="_x0000_s1042" type="#_x0000_t202" style="position:absolute;left:0;text-align:left;margin-left:-30.55pt;margin-top:128.9pt;width:519pt;height:84.5pt;z-index:25166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" filled="f" stroked="f" strokeweight=".5pt">
                <v:textbox>
                  <w:txbxContent>
                    <w:p w14:paraId="1FB0B3C6" w14:textId="77777777" w:rsidR="006317CC" w:rsidRDefault="006317CC" w:rsidP="006317CC">
                      <w:pPr>
                        <w:spacing w:after="0"/>
                        <w:rPr>
                          <w:color w:val="FFFFFF" w:themeColor="background1"/>
                        </w:rPr>
                      </w:pPr>
                      <w:r w:rsidRPr="00CC74F7">
                        <w:rPr>
                          <w:color w:val="FFFFFF" w:themeColor="background1"/>
                        </w:rPr>
                        <w:t xml:space="preserve">For any queries, please contact Brenda Dorpalen (Insights and </w:t>
                      </w:r>
                      <w:r>
                        <w:rPr>
                          <w:color w:val="FFFFFF" w:themeColor="background1"/>
                        </w:rPr>
                        <w:t>Economics Team Manager)</w:t>
                      </w:r>
                      <w:r w:rsidRPr="00CC74F7">
                        <w:rPr>
                          <w:color w:val="FFFFFF" w:themeColor="background1"/>
                        </w:rPr>
                        <w:t xml:space="preserve"> at </w:t>
                      </w:r>
                    </w:p>
                    <w:p w14:paraId="58ED8161" w14:textId="77777777" w:rsidR="006317CC" w:rsidRPr="00CC74F7" w:rsidRDefault="006317CC" w:rsidP="006317CC">
                      <w:pPr>
                        <w:spacing w:after="0"/>
                        <w:rPr>
                          <w:color w:val="FFFFFF" w:themeColor="background1"/>
                        </w:rPr>
                      </w:pPr>
                      <w:r w:rsidRPr="00CC74F7">
                        <w:rPr>
                          <w:color w:val="FFFFFF" w:themeColor="background1"/>
                        </w:rPr>
                        <w:t>Brenda.Dorpalen@canalrivertrust.org.uk</w:t>
                      </w:r>
                    </w:p>
                    <w:p w14:paraId="7C72CECA" w14:textId="77777777" w:rsidR="006317CC" w:rsidRDefault="006317CC"/>
                  </w:txbxContent>
                </v:textbox>
              </v:shape>
            </w:pict>
          </mc:Fallback>
        </mc:AlternateContent>
      </w:r>
      <w:r w:rsidR="00B7455D">
        <w:rPr>
          <w:noProof/>
          <w14:ligatures w14:val="standardContextual"/>
        </w:rPr>
        <w:drawing>
          <wp:anchor distT="0" distB="0" distL="114300" distR="114300" simplePos="0" relativeHeight="251658241" behindDoc="1" locked="0" layoutInCell="1" allowOverlap="1" wp14:anchorId="39B87F8F" wp14:editId="4FAF894F">
            <wp:simplePos x="0" y="0"/>
            <wp:positionH relativeFrom="page">
              <wp:align>left</wp:align>
            </wp:positionH>
            <wp:positionV relativeFrom="paragraph">
              <wp:posOffset>-444500</wp:posOffset>
            </wp:positionV>
            <wp:extent cx="7569200" cy="10706401"/>
            <wp:effectExtent l="0" t="0" r="0" b="0"/>
            <wp:wrapNone/>
            <wp:docPr id="12044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886" name="Picture 1204488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9200" cy="10706401"/>
                    </a:xfrm>
                    <a:prstGeom prst="rect">
                      <a:avLst/>
                    </a:prstGeom>
                  </pic:spPr>
                </pic:pic>
              </a:graphicData>
            </a:graphic>
            <wp14:sizeRelH relativeFrom="page">
              <wp14:pctWidth>0</wp14:pctWidth>
            </wp14:sizeRelH>
            <wp14:sizeRelV relativeFrom="page">
              <wp14:pctHeight>0</wp14:pctHeight>
            </wp14:sizeRelV>
          </wp:anchor>
        </w:drawing>
      </w:r>
    </w:p>
    <w:sectPr w:rsidR="00B7455D" w:rsidRPr="00165450" w:rsidSect="00165450">
      <w:pgSz w:w="11906" w:h="16838" w:code="9"/>
      <w:pgMar w:top="692" w:right="1021"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08673" w14:textId="77777777" w:rsidR="002218DE" w:rsidRDefault="002218DE" w:rsidP="00E25697">
      <w:r>
        <w:separator/>
      </w:r>
    </w:p>
  </w:endnote>
  <w:endnote w:type="continuationSeparator" w:id="0">
    <w:p w14:paraId="5A55B12C" w14:textId="77777777" w:rsidR="002218DE" w:rsidRDefault="002218DE" w:rsidP="00E2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n Era">
    <w:altName w:val="Calibri"/>
    <w:panose1 w:val="02000000000000000000"/>
    <w:charset w:val="00"/>
    <w:family w:val="modern"/>
    <w:notTrueType/>
    <w:pitch w:val="variable"/>
    <w:sig w:usb0="A00000EF" w:usb1="0000F07B" w:usb2="00000000" w:usb3="00000000" w:csb0="00000093" w:csb1="00000000"/>
  </w:font>
  <w:font w:name="Modern Era Bold">
    <w:panose1 w:val="02000000000000000000"/>
    <w:charset w:val="00"/>
    <w:family w:val="modern"/>
    <w:notTrueType/>
    <w:pitch w:val="variable"/>
    <w:sig w:usb0="A00000EF" w:usb1="0000F07B" w:usb2="00000000" w:usb3="00000000" w:csb0="00000093" w:csb1="00000000"/>
  </w:font>
  <w:font w:name="Tahoma">
    <w:panose1 w:val="020B0604030504040204"/>
    <w:charset w:val="00"/>
    <w:family w:val="swiss"/>
    <w:pitch w:val="variable"/>
    <w:sig w:usb0="E1002EFF" w:usb1="C000605B" w:usb2="00000029" w:usb3="00000000" w:csb0="000101FF" w:csb1="00000000"/>
  </w:font>
  <w:font w:name="Frutiger LT 55 Roman">
    <w:altName w:val="Calibri"/>
    <w:charset w:val="00"/>
    <w:family w:val="swiss"/>
    <w:pitch w:val="variable"/>
    <w:sig w:usb0="80000027" w:usb1="00000000" w:usb2="00000000" w:usb3="00000000" w:csb0="00000001" w:csb1="00000000"/>
  </w:font>
  <w:font w:name="Helvetica Neue LT Std 65 Medium">
    <w:altName w:val="Arial"/>
    <w:panose1 w:val="00000000000000000000"/>
    <w:charset w:val="00"/>
    <w:family w:val="swiss"/>
    <w:notTrueType/>
    <w:pitch w:val="variable"/>
    <w:sig w:usb0="800000AF" w:usb1="4000204A" w:usb2="00000000" w:usb3="00000000" w:csb0="00000001" w:csb1="00000000"/>
  </w:font>
  <w:font w:name="HelveticaNeueLT Std">
    <w:altName w:val="Arial"/>
    <w:charset w:val="00"/>
    <w:family w:val="swiss"/>
    <w:pitch w:val="variable"/>
    <w:sig w:usb0="800000AF" w:usb1="4000204A" w:usb2="00000000" w:usb3="00000000" w:csb0="00000001" w:csb1="00000000"/>
  </w:font>
  <w:font w:name="HelveticaNeueLT Std Lt">
    <w:altName w:val="Arial"/>
    <w:charset w:val="00"/>
    <w:family w:val="swiss"/>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F1FA" w14:textId="71A7D42E" w:rsidR="005F2FFE" w:rsidRPr="005A169B" w:rsidRDefault="008A38A2" w:rsidP="00D157C3">
    <w:pPr>
      <w:pStyle w:val="Footer"/>
      <w:tabs>
        <w:tab w:val="left" w:pos="1540"/>
      </w:tabs>
    </w:pPr>
    <w:r w:rsidRPr="008A38A2">
      <w:t>Canal &amp; River Trust Natural Capital Baseline</w:t>
    </w:r>
    <w:r>
      <w:ptab w:relativeTo="margin" w:alignment="center" w:leader="none"/>
    </w:r>
    <w:r>
      <w:ptab w:relativeTo="margin" w:alignment="right" w:leader="none"/>
    </w:r>
    <w:sdt>
      <w:sdtPr>
        <w:id w:val="604765119"/>
        <w:docPartObj>
          <w:docPartGallery w:val="Page Numbers (Bottom of Page)"/>
          <w:docPartUnique/>
        </w:docPartObj>
      </w:sdtPr>
      <w:sdtContent>
        <w:r>
          <w:fldChar w:fldCharType="begin"/>
        </w:r>
        <w:r>
          <w:instrText>PAGE   \* MERGEFORMAT</w:instrText>
        </w:r>
        <w:r>
          <w:fldChar w:fldCharType="separate"/>
        </w:r>
        <w:r>
          <w:t>3</w:t>
        </w:r>
        <w:r>
          <w:fldChar w:fldCharType="end"/>
        </w:r>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A754" w14:textId="75821EE3" w:rsidR="00B90607" w:rsidRDefault="00251FC0" w:rsidP="00E25697">
    <w:pPr>
      <w:pStyle w:val="Footer"/>
    </w:pPr>
    <w:r w:rsidRPr="008A38A2">
      <w:t>Canal &amp; River Trust Natural Capital Baseline</w:t>
    </w:r>
    <w:r>
      <w:ptab w:relativeTo="margin" w:alignment="center" w:leader="none"/>
    </w:r>
    <w:r>
      <w:ptab w:relativeTo="margin" w:alignment="right" w:leader="none"/>
    </w:r>
    <w:sdt>
      <w:sdtPr>
        <w:id w:val="1813364980"/>
        <w:docPartObj>
          <w:docPartGallery w:val="Page Numbers (Bottom of Page)"/>
          <w:docPartUnique/>
        </w:docPartObj>
      </w:sdtPr>
      <w:sdtContent>
        <w:r>
          <w:fldChar w:fldCharType="begin"/>
        </w:r>
        <w:r>
          <w:instrText>PAGE   \* MERGEFORMAT</w:instrText>
        </w:r>
        <w:r>
          <w:fldChar w:fldCharType="separate"/>
        </w:r>
        <w:r>
          <w:t>15</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0A89E" w14:textId="77777777" w:rsidR="002218DE" w:rsidRDefault="002218DE" w:rsidP="00E25697">
      <w:r>
        <w:separator/>
      </w:r>
    </w:p>
  </w:footnote>
  <w:footnote w:type="continuationSeparator" w:id="0">
    <w:p w14:paraId="744998FF" w14:textId="77777777" w:rsidR="002218DE" w:rsidRDefault="002218DE" w:rsidP="00E25697">
      <w:r>
        <w:continuationSeparator/>
      </w:r>
    </w:p>
  </w:footnote>
  <w:footnote w:id="1">
    <w:p w14:paraId="03598553" w14:textId="77777777" w:rsidR="00D853E9" w:rsidRPr="001000F2" w:rsidRDefault="00D853E9" w:rsidP="00D853E9">
      <w:pPr>
        <w:pStyle w:val="FootnoteText"/>
        <w:spacing w:after="0"/>
        <w:rPr>
          <w:rFonts w:asciiTheme="minorHAnsi" w:hAnsiTheme="minorHAnsi"/>
          <w:sz w:val="18"/>
          <w:szCs w:val="18"/>
        </w:rPr>
      </w:pPr>
      <w:r w:rsidRPr="001000F2">
        <w:rPr>
          <w:rStyle w:val="FootnoteReference"/>
          <w:rFonts w:asciiTheme="minorHAnsi" w:hAnsiTheme="minorHAnsi"/>
          <w:sz w:val="18"/>
          <w:szCs w:val="18"/>
        </w:rPr>
        <w:footnoteRef/>
      </w:r>
      <w:r w:rsidRPr="001000F2">
        <w:rPr>
          <w:rFonts w:asciiTheme="minorHAnsi" w:hAnsiTheme="minorHAnsi"/>
          <w:sz w:val="18"/>
          <w:szCs w:val="18"/>
        </w:rPr>
        <w:t xml:space="preserve"> </w:t>
      </w:r>
      <w:r w:rsidRPr="001000F2">
        <w:rPr>
          <w:rFonts w:asciiTheme="minorHAnsi" w:hAnsiTheme="minorHAnsi"/>
          <w:color w:val="auto"/>
          <w:sz w:val="18"/>
          <w:szCs w:val="18"/>
        </w:rPr>
        <w:t xml:space="preserve">HM Treasury (2022): The Green Book – Central Government Guidance on Appraisal and Evaluation; </w:t>
      </w:r>
      <w:hyperlink r:id="rId1" w:history="1">
        <w:r w:rsidRPr="001000F2">
          <w:rPr>
            <w:rStyle w:val="Hyperlink"/>
            <w:rFonts w:asciiTheme="minorHAnsi" w:hAnsiTheme="minorHAnsi"/>
            <w:color w:val="auto"/>
            <w:sz w:val="18"/>
            <w:szCs w:val="18"/>
          </w:rPr>
          <w:t>The Green Book (publishing.service.gov.uk)</w:t>
        </w:r>
      </w:hyperlink>
    </w:p>
  </w:footnote>
  <w:footnote w:id="2">
    <w:p w14:paraId="3FEBAEF2" w14:textId="623E8213" w:rsidR="00A349AA" w:rsidRPr="003C263A" w:rsidRDefault="00A349AA">
      <w:pPr>
        <w:pStyle w:val="FootnoteText"/>
        <w:rPr>
          <w:rFonts w:asciiTheme="minorHAnsi" w:hAnsiTheme="minorHAnsi"/>
        </w:rPr>
      </w:pPr>
      <w:r w:rsidRPr="003C263A">
        <w:rPr>
          <w:rStyle w:val="FootnoteReference"/>
          <w:rFonts w:asciiTheme="minorHAnsi" w:hAnsiTheme="minorHAnsi"/>
        </w:rPr>
        <w:footnoteRef/>
      </w:r>
      <w:r w:rsidRPr="003C263A">
        <w:rPr>
          <w:rFonts w:asciiTheme="minorHAnsi" w:hAnsiTheme="minorHAnsi"/>
        </w:rPr>
        <w:t xml:space="preserve"> </w:t>
      </w:r>
      <w:r w:rsidRPr="00A349AA">
        <w:rPr>
          <w:rFonts w:asciiTheme="minorHAnsi" w:hAnsiTheme="minorHAnsi"/>
          <w:color w:val="auto"/>
          <w:sz w:val="16"/>
          <w:szCs w:val="16"/>
        </w:rPr>
        <w:t>This doesn’t include the Grand Union Canal Water Transfer Project. It will be included in the next iteration.</w:t>
      </w:r>
    </w:p>
  </w:footnote>
  <w:footnote w:id="3">
    <w:p w14:paraId="79FB2316" w14:textId="77777777" w:rsidR="00A654E1" w:rsidRPr="00452664" w:rsidRDefault="00A654E1" w:rsidP="00A654E1">
      <w:pPr>
        <w:pStyle w:val="FootnoteText"/>
        <w:rPr>
          <w:rFonts w:asciiTheme="minorHAnsi" w:hAnsiTheme="minorHAnsi"/>
          <w:sz w:val="16"/>
          <w:szCs w:val="16"/>
        </w:rPr>
      </w:pPr>
      <w:r w:rsidRPr="00452664">
        <w:rPr>
          <w:rStyle w:val="FootnoteReference"/>
          <w:rFonts w:asciiTheme="minorHAnsi" w:hAnsiTheme="minorHAnsi"/>
          <w:szCs w:val="16"/>
        </w:rPr>
        <w:footnoteRef/>
      </w:r>
      <w:r w:rsidRPr="00452664">
        <w:rPr>
          <w:rFonts w:asciiTheme="minorHAnsi" w:hAnsiTheme="minorHAnsi"/>
          <w:sz w:val="16"/>
          <w:szCs w:val="16"/>
        </w:rPr>
        <w:t xml:space="preserve"> </w:t>
      </w:r>
      <w:r w:rsidRPr="00BD6904">
        <w:rPr>
          <w:rFonts w:asciiTheme="minorHAnsi" w:hAnsiTheme="minorHAnsi"/>
          <w:color w:val="auto"/>
          <w:sz w:val="16"/>
          <w:szCs w:val="16"/>
        </w:rPr>
        <w:t>This category predominantly includes Urban, Cropland, and Other habitat types.</w:t>
      </w:r>
    </w:p>
  </w:footnote>
  <w:footnote w:id="4">
    <w:p w14:paraId="74033C4C" w14:textId="77777777" w:rsidR="00B859FA" w:rsidRPr="003C263A" w:rsidRDefault="00B859FA" w:rsidP="00D35EE6">
      <w:pPr>
        <w:pStyle w:val="FootnoteText"/>
        <w:spacing w:after="0" w:line="240" w:lineRule="auto"/>
        <w:rPr>
          <w:rFonts w:asciiTheme="minorHAnsi" w:hAnsiTheme="minorHAnsi"/>
          <w:color w:val="auto"/>
          <w:sz w:val="16"/>
          <w:szCs w:val="16"/>
        </w:rPr>
      </w:pPr>
      <w:r w:rsidRPr="00BF116E">
        <w:rPr>
          <w:rStyle w:val="FootnoteReference"/>
          <w:rFonts w:asciiTheme="minorHAnsi" w:hAnsiTheme="minorHAnsi"/>
          <w:szCs w:val="16"/>
        </w:rPr>
        <w:footnoteRef/>
      </w:r>
      <w:r w:rsidRPr="003C263A">
        <w:rPr>
          <w:rFonts w:asciiTheme="minorHAnsi" w:hAnsiTheme="minorHAnsi"/>
          <w:color w:val="auto"/>
          <w:sz w:val="16"/>
          <w:szCs w:val="16"/>
        </w:rPr>
        <w:t xml:space="preserve"> </w:t>
      </w:r>
      <w:r w:rsidRPr="003C263A">
        <w:rPr>
          <w:rFonts w:asciiTheme="minorHAnsi" w:hAnsiTheme="minorHAnsi"/>
          <w:color w:val="auto"/>
          <w:sz w:val="16"/>
          <w:szCs w:val="16"/>
          <w:bdr w:val="none" w:sz="0" w:space="0" w:color="auto" w:frame="1"/>
          <w:lang w:eastAsia="en-GB"/>
        </w:rPr>
        <w:t>Excludes active visits, visits &gt;3 hours, visits from volunteers, and visits from those living within 100m to ensure there is no double counting between cultural ecosystem services</w:t>
      </w:r>
    </w:p>
  </w:footnote>
  <w:footnote w:id="5">
    <w:p w14:paraId="3B2D1536" w14:textId="77777777" w:rsidR="00B859FA" w:rsidRPr="003C263A" w:rsidRDefault="00B859FA" w:rsidP="00D35EE6">
      <w:pPr>
        <w:pStyle w:val="FootnoteText"/>
        <w:spacing w:after="0" w:line="240" w:lineRule="auto"/>
        <w:rPr>
          <w:color w:val="auto"/>
          <w:sz w:val="16"/>
          <w:szCs w:val="16"/>
        </w:rPr>
      </w:pPr>
      <w:r w:rsidRPr="00BF116E">
        <w:rPr>
          <w:rStyle w:val="FootnoteReference"/>
          <w:rFonts w:asciiTheme="minorHAnsi" w:hAnsiTheme="minorHAnsi"/>
          <w:szCs w:val="16"/>
        </w:rPr>
        <w:footnoteRef/>
      </w:r>
      <w:r w:rsidRPr="003C263A">
        <w:rPr>
          <w:rFonts w:asciiTheme="minorHAnsi" w:hAnsiTheme="minorHAnsi"/>
          <w:color w:val="auto"/>
          <w:sz w:val="16"/>
          <w:szCs w:val="16"/>
        </w:rPr>
        <w:t xml:space="preserve"> Excludes </w:t>
      </w:r>
      <w:r w:rsidRPr="003C263A">
        <w:rPr>
          <w:rFonts w:asciiTheme="minorHAnsi" w:hAnsiTheme="minorHAnsi"/>
          <w:color w:val="auto"/>
          <w:sz w:val="16"/>
          <w:szCs w:val="16"/>
          <w:bdr w:val="none" w:sz="0" w:space="0" w:color="auto" w:frame="1"/>
          <w:lang w:eastAsia="en-GB"/>
        </w:rPr>
        <w:t>visits from volunteers, and visits from those living within 100m to ensure there is no double counting between cultural ecosystem services.</w:t>
      </w:r>
    </w:p>
  </w:footnote>
  <w:footnote w:id="6">
    <w:p w14:paraId="4B939E25" w14:textId="77777777" w:rsidR="00B859FA" w:rsidRPr="003C263A" w:rsidRDefault="00B859FA" w:rsidP="00D35EE6">
      <w:pPr>
        <w:pStyle w:val="FootnoteText"/>
        <w:spacing w:after="0" w:line="240" w:lineRule="auto"/>
        <w:rPr>
          <w:rFonts w:asciiTheme="minorHAnsi" w:hAnsiTheme="minorHAnsi"/>
          <w:color w:val="auto"/>
          <w:sz w:val="16"/>
          <w:szCs w:val="16"/>
        </w:rPr>
      </w:pPr>
      <w:r w:rsidRPr="00BF116E">
        <w:rPr>
          <w:rStyle w:val="FootnoteReference"/>
          <w:rFonts w:asciiTheme="minorHAnsi" w:hAnsiTheme="minorHAnsi"/>
          <w:szCs w:val="16"/>
        </w:rPr>
        <w:footnoteRef/>
      </w:r>
      <w:r w:rsidRPr="003C263A">
        <w:rPr>
          <w:rFonts w:asciiTheme="minorHAnsi" w:hAnsiTheme="minorHAnsi"/>
          <w:color w:val="auto"/>
          <w:sz w:val="16"/>
          <w:szCs w:val="16"/>
        </w:rPr>
        <w:t xml:space="preserve"> Excludes active visits, </w:t>
      </w:r>
      <w:r w:rsidRPr="003C263A">
        <w:rPr>
          <w:rFonts w:asciiTheme="minorHAnsi" w:hAnsiTheme="minorHAnsi"/>
          <w:color w:val="auto"/>
          <w:sz w:val="16"/>
          <w:szCs w:val="16"/>
          <w:bdr w:val="none" w:sz="0" w:space="0" w:color="auto" w:frame="1"/>
          <w:lang w:eastAsia="en-GB"/>
        </w:rPr>
        <w:t>visits from volunteers, and visits from those living within 100m to ensure there is no double counting between cultural ecosystem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E99C" w14:textId="08BB4395" w:rsidR="00996299" w:rsidRPr="00D44854" w:rsidRDefault="00996299" w:rsidP="00E25697">
    <w:pPr>
      <w:pStyle w:val="CRT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53D8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8609E2"/>
    <w:multiLevelType w:val="multilevel"/>
    <w:tmpl w:val="9AB0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36CD0"/>
    <w:multiLevelType w:val="hybridMultilevel"/>
    <w:tmpl w:val="27DC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B07F2"/>
    <w:multiLevelType w:val="multilevel"/>
    <w:tmpl w:val="F1A6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165BAA"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6" w15:restartNumberingAfterBreak="0">
    <w:nsid w:val="07550B58"/>
    <w:multiLevelType w:val="hybridMultilevel"/>
    <w:tmpl w:val="C076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8C138E"/>
    <w:multiLevelType w:val="multilevel"/>
    <w:tmpl w:val="A7AE50AC"/>
    <w:lvl w:ilvl="0">
      <w:start w:val="1"/>
      <w:numFmt w:val="decimal"/>
      <w:pStyle w:val="CRTNumbered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422670"/>
    <w:multiLevelType w:val="multilevel"/>
    <w:tmpl w:val="AEC4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72BCA"/>
    <w:multiLevelType w:val="hybridMultilevel"/>
    <w:tmpl w:val="E6EEF81A"/>
    <w:lvl w:ilvl="0" w:tplc="F036F5EE">
      <w:start w:val="1"/>
      <w:numFmt w:val="bullet"/>
      <w:lvlText w:val=""/>
      <w:lvlJc w:val="left"/>
      <w:pPr>
        <w:ind w:left="1222" w:hanging="360"/>
      </w:pPr>
      <w:rPr>
        <w:rFonts w:ascii="Symbol" w:hAnsi="Symbol" w:cs="Symbol" w:hint="default"/>
        <w:color w:val="165BAA" w:themeColor="accent1"/>
        <w:sz w:val="22"/>
        <w:szCs w:val="32"/>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0" w15:restartNumberingAfterBreak="0">
    <w:nsid w:val="1B721634"/>
    <w:multiLevelType w:val="hybridMultilevel"/>
    <w:tmpl w:val="F9EE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E55564"/>
    <w:multiLevelType w:val="hybridMultilevel"/>
    <w:tmpl w:val="E076C10E"/>
    <w:lvl w:ilvl="0" w:tplc="3C32CFAE">
      <w:start w:val="1"/>
      <w:numFmt w:val="decimal"/>
      <w:pStyle w:val="CRTBulletNumber"/>
      <w:lvlText w:val="%1."/>
      <w:lvlJc w:val="left"/>
      <w:pPr>
        <w:tabs>
          <w:tab w:val="num" w:pos="680"/>
        </w:tabs>
        <w:ind w:left="680" w:hanging="39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7D6DD5"/>
    <w:multiLevelType w:val="hybridMultilevel"/>
    <w:tmpl w:val="814A79E0"/>
    <w:lvl w:ilvl="0" w:tplc="2124D184">
      <w:start w:val="1"/>
      <w:numFmt w:val="decimal"/>
      <w:lvlText w:val="%1."/>
      <w:lvlJc w:val="left"/>
      <w:pPr>
        <w:tabs>
          <w:tab w:val="num" w:pos="1338"/>
        </w:tabs>
        <w:ind w:left="1338" w:hanging="1338"/>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0532440"/>
    <w:multiLevelType w:val="multilevel"/>
    <w:tmpl w:val="CB30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D21E13"/>
    <w:multiLevelType w:val="multilevel"/>
    <w:tmpl w:val="F8A8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7F29EC"/>
    <w:multiLevelType w:val="hybridMultilevel"/>
    <w:tmpl w:val="DBBEB944"/>
    <w:lvl w:ilvl="0" w:tplc="E3F8520E">
      <w:start w:val="1"/>
      <w:numFmt w:val="decimal"/>
      <w:lvlText w:val="%1."/>
      <w:lvlJc w:val="left"/>
      <w:pPr>
        <w:ind w:left="720" w:hanging="360"/>
      </w:pPr>
      <w:rPr>
        <w:rFonts w:asciiTheme="minorHAnsi" w:hAnsi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363173"/>
    <w:multiLevelType w:val="hybridMultilevel"/>
    <w:tmpl w:val="9CFABAF0"/>
    <w:lvl w:ilvl="0" w:tplc="497A48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744813"/>
    <w:multiLevelType w:val="multilevel"/>
    <w:tmpl w:val="86F4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F282B"/>
    <w:multiLevelType w:val="hybridMultilevel"/>
    <w:tmpl w:val="8170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2668E"/>
    <w:multiLevelType w:val="hybridMultilevel"/>
    <w:tmpl w:val="3C6E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0B0B68"/>
    <w:multiLevelType w:val="multilevel"/>
    <w:tmpl w:val="6710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944E2E"/>
    <w:multiLevelType w:val="hybridMultilevel"/>
    <w:tmpl w:val="662284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3150DBC"/>
    <w:multiLevelType w:val="multilevel"/>
    <w:tmpl w:val="2210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7B1CFA"/>
    <w:multiLevelType w:val="multilevel"/>
    <w:tmpl w:val="B81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1952A4"/>
    <w:multiLevelType w:val="hybridMultilevel"/>
    <w:tmpl w:val="D2A6A840"/>
    <w:lvl w:ilvl="0" w:tplc="7A8EF4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F30FCD"/>
    <w:multiLevelType w:val="hybridMultilevel"/>
    <w:tmpl w:val="E2B02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E5B0A"/>
    <w:multiLevelType w:val="hybridMultilevel"/>
    <w:tmpl w:val="AD088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2A67E4"/>
    <w:multiLevelType w:val="hybridMultilevel"/>
    <w:tmpl w:val="DB981A40"/>
    <w:lvl w:ilvl="0" w:tplc="A5D45D62">
      <w:start w:val="1"/>
      <w:numFmt w:val="lowerLetter"/>
      <w:pStyle w:val="CRT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F138D2"/>
    <w:multiLevelType w:val="multilevel"/>
    <w:tmpl w:val="ABF8E4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912C8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07A5452"/>
    <w:multiLevelType w:val="hybridMultilevel"/>
    <w:tmpl w:val="0D16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E17C8C"/>
    <w:multiLevelType w:val="hybridMultilevel"/>
    <w:tmpl w:val="76AE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E62F73"/>
    <w:multiLevelType w:val="hybridMultilevel"/>
    <w:tmpl w:val="BFEAFF96"/>
    <w:lvl w:ilvl="0" w:tplc="DC66C4F4">
      <w:start w:val="1"/>
      <w:numFmt w:val="bullet"/>
      <w:pStyle w:val="CRTBullet"/>
      <w:lvlText w:val="•"/>
      <w:lvlJc w:val="left"/>
      <w:pPr>
        <w:tabs>
          <w:tab w:val="num" w:pos="284"/>
        </w:tabs>
        <w:ind w:left="284" w:hanging="284"/>
      </w:pPr>
      <w:rPr>
        <w:rFonts w:ascii="Arial" w:hAnsi="Arial" w:hint="default"/>
        <w:color w:val="00000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5977D0"/>
    <w:multiLevelType w:val="multilevel"/>
    <w:tmpl w:val="8870D06E"/>
    <w:lvl w:ilvl="0">
      <w:start w:val="1"/>
      <w:numFmt w:val="decimal"/>
      <w:pStyle w:val="CRTNumbered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BF70438"/>
    <w:multiLevelType w:val="multilevel"/>
    <w:tmpl w:val="127A45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CRTNumberedBodyText"/>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A51201"/>
    <w:multiLevelType w:val="multilevel"/>
    <w:tmpl w:val="C8C8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277152">
    <w:abstractNumId w:val="32"/>
  </w:num>
  <w:num w:numId="2" w16cid:durableId="1742602787">
    <w:abstractNumId w:val="29"/>
  </w:num>
  <w:num w:numId="3" w16cid:durableId="885995892">
    <w:abstractNumId w:val="11"/>
  </w:num>
  <w:num w:numId="4" w16cid:durableId="1126923513">
    <w:abstractNumId w:val="28"/>
  </w:num>
  <w:num w:numId="5" w16cid:durableId="1445615587">
    <w:abstractNumId w:val="7"/>
  </w:num>
  <w:num w:numId="6" w16cid:durableId="1876117451">
    <w:abstractNumId w:val="33"/>
  </w:num>
  <w:num w:numId="7" w16cid:durableId="640962758">
    <w:abstractNumId w:val="34"/>
  </w:num>
  <w:num w:numId="8" w16cid:durableId="1270772580">
    <w:abstractNumId w:val="27"/>
  </w:num>
  <w:num w:numId="9" w16cid:durableId="1736393959">
    <w:abstractNumId w:val="12"/>
  </w:num>
  <w:num w:numId="10" w16cid:durableId="1172332335">
    <w:abstractNumId w:val="4"/>
  </w:num>
  <w:num w:numId="11" w16cid:durableId="2032758349">
    <w:abstractNumId w:val="19"/>
  </w:num>
  <w:num w:numId="12" w16cid:durableId="299045425">
    <w:abstractNumId w:val="5"/>
  </w:num>
  <w:num w:numId="13" w16cid:durableId="1589079294">
    <w:abstractNumId w:val="9"/>
  </w:num>
  <w:num w:numId="14" w16cid:durableId="1456215290">
    <w:abstractNumId w:val="31"/>
  </w:num>
  <w:num w:numId="15" w16cid:durableId="2069495987">
    <w:abstractNumId w:val="3"/>
  </w:num>
  <w:num w:numId="16" w16cid:durableId="1493177731">
    <w:abstractNumId w:val="0"/>
  </w:num>
  <w:num w:numId="17" w16cid:durableId="1683623819">
    <w:abstractNumId w:val="23"/>
  </w:num>
  <w:num w:numId="18" w16cid:durableId="2112043303">
    <w:abstractNumId w:val="17"/>
  </w:num>
  <w:num w:numId="19" w16cid:durableId="1089154844">
    <w:abstractNumId w:val="13"/>
  </w:num>
  <w:num w:numId="20" w16cid:durableId="1970353549">
    <w:abstractNumId w:val="14"/>
  </w:num>
  <w:num w:numId="21" w16cid:durableId="973021422">
    <w:abstractNumId w:val="1"/>
  </w:num>
  <w:num w:numId="22" w16cid:durableId="1546988768">
    <w:abstractNumId w:val="24"/>
  </w:num>
  <w:num w:numId="23" w16cid:durableId="91049640">
    <w:abstractNumId w:val="20"/>
  </w:num>
  <w:num w:numId="24" w16cid:durableId="2100902772">
    <w:abstractNumId w:val="6"/>
  </w:num>
  <w:num w:numId="25" w16cid:durableId="1796869870">
    <w:abstractNumId w:val="25"/>
  </w:num>
  <w:num w:numId="26" w16cid:durableId="458577217">
    <w:abstractNumId w:val="30"/>
  </w:num>
  <w:num w:numId="27" w16cid:durableId="430591028">
    <w:abstractNumId w:val="18"/>
  </w:num>
  <w:num w:numId="28" w16cid:durableId="240529768">
    <w:abstractNumId w:val="16"/>
  </w:num>
  <w:num w:numId="29" w16cid:durableId="391780380">
    <w:abstractNumId w:val="10"/>
  </w:num>
  <w:num w:numId="30" w16cid:durableId="1080324058">
    <w:abstractNumId w:val="21"/>
  </w:num>
  <w:num w:numId="31" w16cid:durableId="425227075">
    <w:abstractNumId w:val="22"/>
  </w:num>
  <w:num w:numId="32" w16cid:durableId="1799909728">
    <w:abstractNumId w:val="15"/>
  </w:num>
  <w:num w:numId="33" w16cid:durableId="74134126">
    <w:abstractNumId w:val="26"/>
  </w:num>
  <w:num w:numId="34" w16cid:durableId="406803329">
    <w:abstractNumId w:val="8"/>
  </w:num>
  <w:num w:numId="35" w16cid:durableId="236062150">
    <w:abstractNumId w:val="35"/>
  </w:num>
  <w:num w:numId="36" w16cid:durableId="1298950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EA9"/>
    <w:rsid w:val="000008C7"/>
    <w:rsid w:val="00000A49"/>
    <w:rsid w:val="0000148A"/>
    <w:rsid w:val="00001EE6"/>
    <w:rsid w:val="00002D77"/>
    <w:rsid w:val="0000384C"/>
    <w:rsid w:val="0000394F"/>
    <w:rsid w:val="00003E9A"/>
    <w:rsid w:val="000046BA"/>
    <w:rsid w:val="00004B31"/>
    <w:rsid w:val="00004D10"/>
    <w:rsid w:val="00004D90"/>
    <w:rsid w:val="00005569"/>
    <w:rsid w:val="0000653A"/>
    <w:rsid w:val="00006893"/>
    <w:rsid w:val="000068D9"/>
    <w:rsid w:val="00006F62"/>
    <w:rsid w:val="00007AF8"/>
    <w:rsid w:val="00007CFC"/>
    <w:rsid w:val="00010FEB"/>
    <w:rsid w:val="0001328C"/>
    <w:rsid w:val="00013C25"/>
    <w:rsid w:val="00013C31"/>
    <w:rsid w:val="00014152"/>
    <w:rsid w:val="00014C84"/>
    <w:rsid w:val="00015280"/>
    <w:rsid w:val="0001598E"/>
    <w:rsid w:val="00015A0A"/>
    <w:rsid w:val="00015D31"/>
    <w:rsid w:val="00015D69"/>
    <w:rsid w:val="00016D5A"/>
    <w:rsid w:val="00017F5B"/>
    <w:rsid w:val="00021B48"/>
    <w:rsid w:val="000229A8"/>
    <w:rsid w:val="00023DBB"/>
    <w:rsid w:val="000245F2"/>
    <w:rsid w:val="00024C95"/>
    <w:rsid w:val="00024ED9"/>
    <w:rsid w:val="00025FD2"/>
    <w:rsid w:val="00026495"/>
    <w:rsid w:val="000265E6"/>
    <w:rsid w:val="00026C8A"/>
    <w:rsid w:val="00026D30"/>
    <w:rsid w:val="0002721C"/>
    <w:rsid w:val="0003055A"/>
    <w:rsid w:val="00030699"/>
    <w:rsid w:val="00030AA1"/>
    <w:rsid w:val="00030E66"/>
    <w:rsid w:val="000314FE"/>
    <w:rsid w:val="000320AE"/>
    <w:rsid w:val="00032B35"/>
    <w:rsid w:val="00032E80"/>
    <w:rsid w:val="0003306D"/>
    <w:rsid w:val="00034296"/>
    <w:rsid w:val="00034FFC"/>
    <w:rsid w:val="0003504E"/>
    <w:rsid w:val="00035686"/>
    <w:rsid w:val="000359B9"/>
    <w:rsid w:val="00035EE9"/>
    <w:rsid w:val="0003655A"/>
    <w:rsid w:val="00037222"/>
    <w:rsid w:val="000403BA"/>
    <w:rsid w:val="00040662"/>
    <w:rsid w:val="0004078D"/>
    <w:rsid w:val="00042047"/>
    <w:rsid w:val="00042626"/>
    <w:rsid w:val="00042D78"/>
    <w:rsid w:val="000432BC"/>
    <w:rsid w:val="00043B6A"/>
    <w:rsid w:val="00043FB7"/>
    <w:rsid w:val="00044BC1"/>
    <w:rsid w:val="00044C20"/>
    <w:rsid w:val="00044D40"/>
    <w:rsid w:val="000459F4"/>
    <w:rsid w:val="00047414"/>
    <w:rsid w:val="00047605"/>
    <w:rsid w:val="00047961"/>
    <w:rsid w:val="000504FD"/>
    <w:rsid w:val="000509AD"/>
    <w:rsid w:val="000514FD"/>
    <w:rsid w:val="00051C65"/>
    <w:rsid w:val="00051F85"/>
    <w:rsid w:val="000522B3"/>
    <w:rsid w:val="00053A64"/>
    <w:rsid w:val="00055092"/>
    <w:rsid w:val="00055FB3"/>
    <w:rsid w:val="000575B1"/>
    <w:rsid w:val="0006011E"/>
    <w:rsid w:val="00061C90"/>
    <w:rsid w:val="00061D7C"/>
    <w:rsid w:val="00062155"/>
    <w:rsid w:val="000631AD"/>
    <w:rsid w:val="00064A0A"/>
    <w:rsid w:val="00064DBA"/>
    <w:rsid w:val="00064E2A"/>
    <w:rsid w:val="0006517D"/>
    <w:rsid w:val="00070FE6"/>
    <w:rsid w:val="0007162C"/>
    <w:rsid w:val="000733EF"/>
    <w:rsid w:val="000734E7"/>
    <w:rsid w:val="00073544"/>
    <w:rsid w:val="0007395F"/>
    <w:rsid w:val="00074436"/>
    <w:rsid w:val="00075DE2"/>
    <w:rsid w:val="00076E94"/>
    <w:rsid w:val="000807B8"/>
    <w:rsid w:val="00080A8C"/>
    <w:rsid w:val="00080DA2"/>
    <w:rsid w:val="000811B9"/>
    <w:rsid w:val="00083144"/>
    <w:rsid w:val="00083666"/>
    <w:rsid w:val="00085D5A"/>
    <w:rsid w:val="00087A77"/>
    <w:rsid w:val="00091252"/>
    <w:rsid w:val="000918B4"/>
    <w:rsid w:val="000919F3"/>
    <w:rsid w:val="0009226D"/>
    <w:rsid w:val="00092D11"/>
    <w:rsid w:val="00093647"/>
    <w:rsid w:val="000945B5"/>
    <w:rsid w:val="00096059"/>
    <w:rsid w:val="00097348"/>
    <w:rsid w:val="000A07DB"/>
    <w:rsid w:val="000A113C"/>
    <w:rsid w:val="000A1382"/>
    <w:rsid w:val="000A343B"/>
    <w:rsid w:val="000A43BA"/>
    <w:rsid w:val="000A4826"/>
    <w:rsid w:val="000A4FEA"/>
    <w:rsid w:val="000A7769"/>
    <w:rsid w:val="000A7D9E"/>
    <w:rsid w:val="000B04F5"/>
    <w:rsid w:val="000B053D"/>
    <w:rsid w:val="000B0F60"/>
    <w:rsid w:val="000B1FCF"/>
    <w:rsid w:val="000B2330"/>
    <w:rsid w:val="000B2354"/>
    <w:rsid w:val="000B2752"/>
    <w:rsid w:val="000B4CF0"/>
    <w:rsid w:val="000B515C"/>
    <w:rsid w:val="000B5446"/>
    <w:rsid w:val="000B5DA0"/>
    <w:rsid w:val="000B600F"/>
    <w:rsid w:val="000B7B7F"/>
    <w:rsid w:val="000C0323"/>
    <w:rsid w:val="000C089B"/>
    <w:rsid w:val="000C1117"/>
    <w:rsid w:val="000C1189"/>
    <w:rsid w:val="000C238B"/>
    <w:rsid w:val="000C2AB6"/>
    <w:rsid w:val="000C34B5"/>
    <w:rsid w:val="000C508F"/>
    <w:rsid w:val="000C66A6"/>
    <w:rsid w:val="000C66D2"/>
    <w:rsid w:val="000C6955"/>
    <w:rsid w:val="000D0DA0"/>
    <w:rsid w:val="000D1063"/>
    <w:rsid w:val="000D1507"/>
    <w:rsid w:val="000D1A28"/>
    <w:rsid w:val="000D24A7"/>
    <w:rsid w:val="000D2654"/>
    <w:rsid w:val="000D39CD"/>
    <w:rsid w:val="000D45D7"/>
    <w:rsid w:val="000D4924"/>
    <w:rsid w:val="000D4E7D"/>
    <w:rsid w:val="000D52B8"/>
    <w:rsid w:val="000D53FE"/>
    <w:rsid w:val="000D6D84"/>
    <w:rsid w:val="000D75B2"/>
    <w:rsid w:val="000D7A46"/>
    <w:rsid w:val="000E1AD0"/>
    <w:rsid w:val="000E39C4"/>
    <w:rsid w:val="000E3F2C"/>
    <w:rsid w:val="000E4375"/>
    <w:rsid w:val="000E5A33"/>
    <w:rsid w:val="000E5D80"/>
    <w:rsid w:val="000E603F"/>
    <w:rsid w:val="000E661D"/>
    <w:rsid w:val="000E69AD"/>
    <w:rsid w:val="000E6CC1"/>
    <w:rsid w:val="000E6DE6"/>
    <w:rsid w:val="000E6E6B"/>
    <w:rsid w:val="000E7611"/>
    <w:rsid w:val="000E769D"/>
    <w:rsid w:val="000E790A"/>
    <w:rsid w:val="000E7A76"/>
    <w:rsid w:val="000E7B68"/>
    <w:rsid w:val="000F022F"/>
    <w:rsid w:val="000F0C82"/>
    <w:rsid w:val="000F27D8"/>
    <w:rsid w:val="000F2E86"/>
    <w:rsid w:val="000F3603"/>
    <w:rsid w:val="000F3DE9"/>
    <w:rsid w:val="000F491E"/>
    <w:rsid w:val="000F5CC9"/>
    <w:rsid w:val="000F6F15"/>
    <w:rsid w:val="001000F2"/>
    <w:rsid w:val="00100A1B"/>
    <w:rsid w:val="00100C37"/>
    <w:rsid w:val="001023CC"/>
    <w:rsid w:val="001030C7"/>
    <w:rsid w:val="00103567"/>
    <w:rsid w:val="00103CDA"/>
    <w:rsid w:val="001052AF"/>
    <w:rsid w:val="00105AD1"/>
    <w:rsid w:val="0010629E"/>
    <w:rsid w:val="00106962"/>
    <w:rsid w:val="0010735D"/>
    <w:rsid w:val="0011121F"/>
    <w:rsid w:val="00111239"/>
    <w:rsid w:val="00111630"/>
    <w:rsid w:val="0011177E"/>
    <w:rsid w:val="00112394"/>
    <w:rsid w:val="0011477D"/>
    <w:rsid w:val="00114F37"/>
    <w:rsid w:val="001155A0"/>
    <w:rsid w:val="00115807"/>
    <w:rsid w:val="00115D2E"/>
    <w:rsid w:val="001171FC"/>
    <w:rsid w:val="00117F40"/>
    <w:rsid w:val="0012009F"/>
    <w:rsid w:val="001200FF"/>
    <w:rsid w:val="001205D2"/>
    <w:rsid w:val="00121390"/>
    <w:rsid w:val="00121A81"/>
    <w:rsid w:val="00121C55"/>
    <w:rsid w:val="001226B4"/>
    <w:rsid w:val="001238C1"/>
    <w:rsid w:val="00124E45"/>
    <w:rsid w:val="00127A5C"/>
    <w:rsid w:val="00130B63"/>
    <w:rsid w:val="001314EA"/>
    <w:rsid w:val="0013188F"/>
    <w:rsid w:val="00131D9D"/>
    <w:rsid w:val="00132131"/>
    <w:rsid w:val="001342C0"/>
    <w:rsid w:val="00135453"/>
    <w:rsid w:val="00135BCC"/>
    <w:rsid w:val="00136632"/>
    <w:rsid w:val="00137E8A"/>
    <w:rsid w:val="001400D5"/>
    <w:rsid w:val="00140305"/>
    <w:rsid w:val="0014179C"/>
    <w:rsid w:val="00141F4A"/>
    <w:rsid w:val="001429BE"/>
    <w:rsid w:val="00142F33"/>
    <w:rsid w:val="001430AB"/>
    <w:rsid w:val="0014409D"/>
    <w:rsid w:val="001448BC"/>
    <w:rsid w:val="00144AFA"/>
    <w:rsid w:val="00144F3F"/>
    <w:rsid w:val="00145B4C"/>
    <w:rsid w:val="00145D43"/>
    <w:rsid w:val="00145DE4"/>
    <w:rsid w:val="001464CD"/>
    <w:rsid w:val="00146A1E"/>
    <w:rsid w:val="00146C4E"/>
    <w:rsid w:val="00146EF5"/>
    <w:rsid w:val="00147233"/>
    <w:rsid w:val="001477F1"/>
    <w:rsid w:val="001500EE"/>
    <w:rsid w:val="00150682"/>
    <w:rsid w:val="00151D12"/>
    <w:rsid w:val="00152A6E"/>
    <w:rsid w:val="0015304D"/>
    <w:rsid w:val="00153169"/>
    <w:rsid w:val="00153A1C"/>
    <w:rsid w:val="00154787"/>
    <w:rsid w:val="00155B1C"/>
    <w:rsid w:val="001563CB"/>
    <w:rsid w:val="001568CF"/>
    <w:rsid w:val="001575B0"/>
    <w:rsid w:val="00157756"/>
    <w:rsid w:val="0016098C"/>
    <w:rsid w:val="001614C5"/>
    <w:rsid w:val="00161C6B"/>
    <w:rsid w:val="00161DAC"/>
    <w:rsid w:val="00163839"/>
    <w:rsid w:val="00163987"/>
    <w:rsid w:val="0016425E"/>
    <w:rsid w:val="00165450"/>
    <w:rsid w:val="0017081B"/>
    <w:rsid w:val="00171B1F"/>
    <w:rsid w:val="00171F77"/>
    <w:rsid w:val="001724A5"/>
    <w:rsid w:val="001725A7"/>
    <w:rsid w:val="00172E19"/>
    <w:rsid w:val="00174DD5"/>
    <w:rsid w:val="0017534F"/>
    <w:rsid w:val="00175439"/>
    <w:rsid w:val="00175EF8"/>
    <w:rsid w:val="0017714D"/>
    <w:rsid w:val="00177996"/>
    <w:rsid w:val="00177FFE"/>
    <w:rsid w:val="001802C0"/>
    <w:rsid w:val="00180DE8"/>
    <w:rsid w:val="00181FCF"/>
    <w:rsid w:val="00182A24"/>
    <w:rsid w:val="00182C09"/>
    <w:rsid w:val="00183519"/>
    <w:rsid w:val="001836B6"/>
    <w:rsid w:val="001848D8"/>
    <w:rsid w:val="00184D2B"/>
    <w:rsid w:val="00186773"/>
    <w:rsid w:val="00187A1B"/>
    <w:rsid w:val="001902F1"/>
    <w:rsid w:val="001907AD"/>
    <w:rsid w:val="0019191E"/>
    <w:rsid w:val="00191F30"/>
    <w:rsid w:val="00192959"/>
    <w:rsid w:val="00193D10"/>
    <w:rsid w:val="00193F10"/>
    <w:rsid w:val="001955BF"/>
    <w:rsid w:val="0019616A"/>
    <w:rsid w:val="00197954"/>
    <w:rsid w:val="001A010B"/>
    <w:rsid w:val="001A016D"/>
    <w:rsid w:val="001A2375"/>
    <w:rsid w:val="001A3250"/>
    <w:rsid w:val="001A6C76"/>
    <w:rsid w:val="001A7835"/>
    <w:rsid w:val="001B0573"/>
    <w:rsid w:val="001B164E"/>
    <w:rsid w:val="001B1C52"/>
    <w:rsid w:val="001B1FF2"/>
    <w:rsid w:val="001B20C5"/>
    <w:rsid w:val="001B25F4"/>
    <w:rsid w:val="001B28F0"/>
    <w:rsid w:val="001B2EB5"/>
    <w:rsid w:val="001B3BF8"/>
    <w:rsid w:val="001B4421"/>
    <w:rsid w:val="001B6377"/>
    <w:rsid w:val="001B679C"/>
    <w:rsid w:val="001B695C"/>
    <w:rsid w:val="001B7714"/>
    <w:rsid w:val="001C0737"/>
    <w:rsid w:val="001C1A2E"/>
    <w:rsid w:val="001C2888"/>
    <w:rsid w:val="001C2BC3"/>
    <w:rsid w:val="001C3467"/>
    <w:rsid w:val="001C4475"/>
    <w:rsid w:val="001C4AB5"/>
    <w:rsid w:val="001C58EF"/>
    <w:rsid w:val="001C7AF1"/>
    <w:rsid w:val="001D096B"/>
    <w:rsid w:val="001D1539"/>
    <w:rsid w:val="001D1620"/>
    <w:rsid w:val="001D19D6"/>
    <w:rsid w:val="001D2194"/>
    <w:rsid w:val="001D2E9F"/>
    <w:rsid w:val="001D3549"/>
    <w:rsid w:val="001D3F4C"/>
    <w:rsid w:val="001D495E"/>
    <w:rsid w:val="001D59A8"/>
    <w:rsid w:val="001D6A7D"/>
    <w:rsid w:val="001D775C"/>
    <w:rsid w:val="001E0394"/>
    <w:rsid w:val="001E0483"/>
    <w:rsid w:val="001E0F6E"/>
    <w:rsid w:val="001E1713"/>
    <w:rsid w:val="001E1AF2"/>
    <w:rsid w:val="001E4904"/>
    <w:rsid w:val="001E5CB0"/>
    <w:rsid w:val="001E5E1B"/>
    <w:rsid w:val="001E6718"/>
    <w:rsid w:val="001E680A"/>
    <w:rsid w:val="001F2BF7"/>
    <w:rsid w:val="001F3D1F"/>
    <w:rsid w:val="001F59C4"/>
    <w:rsid w:val="001F784B"/>
    <w:rsid w:val="001F78FD"/>
    <w:rsid w:val="001F79BB"/>
    <w:rsid w:val="001F7C10"/>
    <w:rsid w:val="00200196"/>
    <w:rsid w:val="00200E8F"/>
    <w:rsid w:val="00200F35"/>
    <w:rsid w:val="002014E7"/>
    <w:rsid w:val="00203662"/>
    <w:rsid w:val="00204F72"/>
    <w:rsid w:val="002053AF"/>
    <w:rsid w:val="002055DD"/>
    <w:rsid w:val="002070A9"/>
    <w:rsid w:val="00207545"/>
    <w:rsid w:val="00207FAF"/>
    <w:rsid w:val="00211079"/>
    <w:rsid w:val="00211822"/>
    <w:rsid w:val="002128D9"/>
    <w:rsid w:val="00212ADE"/>
    <w:rsid w:val="0021307E"/>
    <w:rsid w:val="002136A8"/>
    <w:rsid w:val="002153B3"/>
    <w:rsid w:val="00215C50"/>
    <w:rsid w:val="00215F19"/>
    <w:rsid w:val="00216E34"/>
    <w:rsid w:val="0022095A"/>
    <w:rsid w:val="002218DE"/>
    <w:rsid w:val="002223C5"/>
    <w:rsid w:val="002226BD"/>
    <w:rsid w:val="00222784"/>
    <w:rsid w:val="00222CCD"/>
    <w:rsid w:val="002235EE"/>
    <w:rsid w:val="002245C3"/>
    <w:rsid w:val="00224D79"/>
    <w:rsid w:val="00225365"/>
    <w:rsid w:val="002258D8"/>
    <w:rsid w:val="00226A25"/>
    <w:rsid w:val="00227609"/>
    <w:rsid w:val="00227627"/>
    <w:rsid w:val="00227F35"/>
    <w:rsid w:val="002308CC"/>
    <w:rsid w:val="002317B0"/>
    <w:rsid w:val="002326B1"/>
    <w:rsid w:val="00232CA1"/>
    <w:rsid w:val="0023354A"/>
    <w:rsid w:val="00233AFC"/>
    <w:rsid w:val="00233CFB"/>
    <w:rsid w:val="00235121"/>
    <w:rsid w:val="00236107"/>
    <w:rsid w:val="002367B4"/>
    <w:rsid w:val="00237AF8"/>
    <w:rsid w:val="00240054"/>
    <w:rsid w:val="002406C5"/>
    <w:rsid w:val="002420DE"/>
    <w:rsid w:val="00245957"/>
    <w:rsid w:val="00246DE7"/>
    <w:rsid w:val="00247AE5"/>
    <w:rsid w:val="0025078F"/>
    <w:rsid w:val="00251BE9"/>
    <w:rsid w:val="00251E48"/>
    <w:rsid w:val="00251FC0"/>
    <w:rsid w:val="00254CDF"/>
    <w:rsid w:val="002571EA"/>
    <w:rsid w:val="002579BB"/>
    <w:rsid w:val="002600B5"/>
    <w:rsid w:val="0026078F"/>
    <w:rsid w:val="00262311"/>
    <w:rsid w:val="00263838"/>
    <w:rsid w:val="0026463F"/>
    <w:rsid w:val="0026576A"/>
    <w:rsid w:val="00265C08"/>
    <w:rsid w:val="00266578"/>
    <w:rsid w:val="002679C9"/>
    <w:rsid w:val="00267D1F"/>
    <w:rsid w:val="00270DE9"/>
    <w:rsid w:val="00270EF6"/>
    <w:rsid w:val="0027193C"/>
    <w:rsid w:val="002724F6"/>
    <w:rsid w:val="00272E5C"/>
    <w:rsid w:val="002736A8"/>
    <w:rsid w:val="00273D9A"/>
    <w:rsid w:val="00274340"/>
    <w:rsid w:val="0027779F"/>
    <w:rsid w:val="00277BEB"/>
    <w:rsid w:val="002813BC"/>
    <w:rsid w:val="0028291A"/>
    <w:rsid w:val="00282FF8"/>
    <w:rsid w:val="002845B3"/>
    <w:rsid w:val="002847A2"/>
    <w:rsid w:val="0028700B"/>
    <w:rsid w:val="0028709F"/>
    <w:rsid w:val="00290646"/>
    <w:rsid w:val="002907FA"/>
    <w:rsid w:val="0029087F"/>
    <w:rsid w:val="00292A77"/>
    <w:rsid w:val="00292C41"/>
    <w:rsid w:val="002943B0"/>
    <w:rsid w:val="002951D3"/>
    <w:rsid w:val="002952C0"/>
    <w:rsid w:val="0029726A"/>
    <w:rsid w:val="002A1C9E"/>
    <w:rsid w:val="002A1CC4"/>
    <w:rsid w:val="002A299F"/>
    <w:rsid w:val="002A4003"/>
    <w:rsid w:val="002A42ED"/>
    <w:rsid w:val="002A4670"/>
    <w:rsid w:val="002A5507"/>
    <w:rsid w:val="002A63DC"/>
    <w:rsid w:val="002A6DDD"/>
    <w:rsid w:val="002A703E"/>
    <w:rsid w:val="002A7871"/>
    <w:rsid w:val="002B00B5"/>
    <w:rsid w:val="002B0F24"/>
    <w:rsid w:val="002B1663"/>
    <w:rsid w:val="002B41A0"/>
    <w:rsid w:val="002B65F7"/>
    <w:rsid w:val="002B6F97"/>
    <w:rsid w:val="002B7993"/>
    <w:rsid w:val="002B7B7D"/>
    <w:rsid w:val="002C0C0F"/>
    <w:rsid w:val="002C100C"/>
    <w:rsid w:val="002C1814"/>
    <w:rsid w:val="002C2004"/>
    <w:rsid w:val="002C24F4"/>
    <w:rsid w:val="002C340E"/>
    <w:rsid w:val="002C3992"/>
    <w:rsid w:val="002C40AD"/>
    <w:rsid w:val="002C5C73"/>
    <w:rsid w:val="002C6615"/>
    <w:rsid w:val="002C78B0"/>
    <w:rsid w:val="002D0034"/>
    <w:rsid w:val="002D0B7F"/>
    <w:rsid w:val="002D1EBA"/>
    <w:rsid w:val="002D4CCD"/>
    <w:rsid w:val="002D6340"/>
    <w:rsid w:val="002D6CDB"/>
    <w:rsid w:val="002D6DC9"/>
    <w:rsid w:val="002D7B6D"/>
    <w:rsid w:val="002E057A"/>
    <w:rsid w:val="002E3335"/>
    <w:rsid w:val="002E42B4"/>
    <w:rsid w:val="002E4570"/>
    <w:rsid w:val="002E4AD2"/>
    <w:rsid w:val="002E5326"/>
    <w:rsid w:val="002E552B"/>
    <w:rsid w:val="002E5CC8"/>
    <w:rsid w:val="002E5E29"/>
    <w:rsid w:val="002E62AB"/>
    <w:rsid w:val="002E6407"/>
    <w:rsid w:val="002E6C72"/>
    <w:rsid w:val="002E6E3F"/>
    <w:rsid w:val="002E7951"/>
    <w:rsid w:val="002E7EB0"/>
    <w:rsid w:val="002F038C"/>
    <w:rsid w:val="002F23E1"/>
    <w:rsid w:val="002F2A9E"/>
    <w:rsid w:val="002F3B48"/>
    <w:rsid w:val="002F46E6"/>
    <w:rsid w:val="002F663B"/>
    <w:rsid w:val="002F6EB1"/>
    <w:rsid w:val="003003CC"/>
    <w:rsid w:val="00300542"/>
    <w:rsid w:val="00300888"/>
    <w:rsid w:val="0030282D"/>
    <w:rsid w:val="00304711"/>
    <w:rsid w:val="00304B4C"/>
    <w:rsid w:val="00305B68"/>
    <w:rsid w:val="0030661F"/>
    <w:rsid w:val="0030675C"/>
    <w:rsid w:val="00310037"/>
    <w:rsid w:val="00310671"/>
    <w:rsid w:val="003109BF"/>
    <w:rsid w:val="00310F90"/>
    <w:rsid w:val="00311599"/>
    <w:rsid w:val="003118C0"/>
    <w:rsid w:val="003119C5"/>
    <w:rsid w:val="00313920"/>
    <w:rsid w:val="00314591"/>
    <w:rsid w:val="0031743B"/>
    <w:rsid w:val="003215A0"/>
    <w:rsid w:val="00322B27"/>
    <w:rsid w:val="00323F25"/>
    <w:rsid w:val="003240FB"/>
    <w:rsid w:val="0032460F"/>
    <w:rsid w:val="00325A77"/>
    <w:rsid w:val="00326550"/>
    <w:rsid w:val="00327A3D"/>
    <w:rsid w:val="00330508"/>
    <w:rsid w:val="0033055D"/>
    <w:rsid w:val="00330C9D"/>
    <w:rsid w:val="00330D0A"/>
    <w:rsid w:val="003310EE"/>
    <w:rsid w:val="003319D6"/>
    <w:rsid w:val="00333B83"/>
    <w:rsid w:val="00334FCB"/>
    <w:rsid w:val="00335440"/>
    <w:rsid w:val="00335DF6"/>
    <w:rsid w:val="00336D17"/>
    <w:rsid w:val="0033775C"/>
    <w:rsid w:val="00340549"/>
    <w:rsid w:val="003405DF"/>
    <w:rsid w:val="00341E4A"/>
    <w:rsid w:val="0034202F"/>
    <w:rsid w:val="00342A2F"/>
    <w:rsid w:val="00342D10"/>
    <w:rsid w:val="00343AE6"/>
    <w:rsid w:val="00343C24"/>
    <w:rsid w:val="00346254"/>
    <w:rsid w:val="003463F6"/>
    <w:rsid w:val="00347E5B"/>
    <w:rsid w:val="003518EC"/>
    <w:rsid w:val="0035225B"/>
    <w:rsid w:val="00352844"/>
    <w:rsid w:val="00352B7F"/>
    <w:rsid w:val="00353C9F"/>
    <w:rsid w:val="00354797"/>
    <w:rsid w:val="00354819"/>
    <w:rsid w:val="00354DB9"/>
    <w:rsid w:val="00354FF7"/>
    <w:rsid w:val="00355951"/>
    <w:rsid w:val="00355F21"/>
    <w:rsid w:val="0035739D"/>
    <w:rsid w:val="0036071C"/>
    <w:rsid w:val="003613E3"/>
    <w:rsid w:val="0036174D"/>
    <w:rsid w:val="00362F90"/>
    <w:rsid w:val="0036346E"/>
    <w:rsid w:val="003646E7"/>
    <w:rsid w:val="003655D2"/>
    <w:rsid w:val="00366027"/>
    <w:rsid w:val="0036689B"/>
    <w:rsid w:val="00367FA7"/>
    <w:rsid w:val="00370031"/>
    <w:rsid w:val="00370341"/>
    <w:rsid w:val="003703AC"/>
    <w:rsid w:val="00370C2E"/>
    <w:rsid w:val="00371741"/>
    <w:rsid w:val="00371BC2"/>
    <w:rsid w:val="00373B14"/>
    <w:rsid w:val="00373DEE"/>
    <w:rsid w:val="0037452F"/>
    <w:rsid w:val="0037741E"/>
    <w:rsid w:val="003774C2"/>
    <w:rsid w:val="0037793B"/>
    <w:rsid w:val="00377E36"/>
    <w:rsid w:val="00377E41"/>
    <w:rsid w:val="00380D42"/>
    <w:rsid w:val="003813D1"/>
    <w:rsid w:val="00381BC3"/>
    <w:rsid w:val="003824CE"/>
    <w:rsid w:val="003826D4"/>
    <w:rsid w:val="00383188"/>
    <w:rsid w:val="00384D79"/>
    <w:rsid w:val="00384DC7"/>
    <w:rsid w:val="00385679"/>
    <w:rsid w:val="003871EF"/>
    <w:rsid w:val="0038794B"/>
    <w:rsid w:val="00391FA1"/>
    <w:rsid w:val="0039259C"/>
    <w:rsid w:val="00392919"/>
    <w:rsid w:val="00393619"/>
    <w:rsid w:val="00395A6F"/>
    <w:rsid w:val="00397298"/>
    <w:rsid w:val="00397C01"/>
    <w:rsid w:val="003A0682"/>
    <w:rsid w:val="003A182F"/>
    <w:rsid w:val="003A212C"/>
    <w:rsid w:val="003A47EE"/>
    <w:rsid w:val="003A50BC"/>
    <w:rsid w:val="003A5C10"/>
    <w:rsid w:val="003A5C68"/>
    <w:rsid w:val="003A62E2"/>
    <w:rsid w:val="003A63C9"/>
    <w:rsid w:val="003A6C12"/>
    <w:rsid w:val="003A7F36"/>
    <w:rsid w:val="003B1978"/>
    <w:rsid w:val="003B2580"/>
    <w:rsid w:val="003B2C4D"/>
    <w:rsid w:val="003B385A"/>
    <w:rsid w:val="003B41DD"/>
    <w:rsid w:val="003B6944"/>
    <w:rsid w:val="003B6E70"/>
    <w:rsid w:val="003B7CCB"/>
    <w:rsid w:val="003C05EA"/>
    <w:rsid w:val="003C0823"/>
    <w:rsid w:val="003C0B21"/>
    <w:rsid w:val="003C0DC7"/>
    <w:rsid w:val="003C263A"/>
    <w:rsid w:val="003C2B71"/>
    <w:rsid w:val="003C2BCD"/>
    <w:rsid w:val="003C3094"/>
    <w:rsid w:val="003C3A73"/>
    <w:rsid w:val="003C49AA"/>
    <w:rsid w:val="003C518A"/>
    <w:rsid w:val="003C5838"/>
    <w:rsid w:val="003C583F"/>
    <w:rsid w:val="003C5EA8"/>
    <w:rsid w:val="003C5F5C"/>
    <w:rsid w:val="003C672F"/>
    <w:rsid w:val="003C6C19"/>
    <w:rsid w:val="003C75EF"/>
    <w:rsid w:val="003C79B0"/>
    <w:rsid w:val="003C7A2E"/>
    <w:rsid w:val="003C7BC4"/>
    <w:rsid w:val="003D070A"/>
    <w:rsid w:val="003D0BF3"/>
    <w:rsid w:val="003D1A60"/>
    <w:rsid w:val="003D1F36"/>
    <w:rsid w:val="003D209B"/>
    <w:rsid w:val="003D2238"/>
    <w:rsid w:val="003D2436"/>
    <w:rsid w:val="003D2987"/>
    <w:rsid w:val="003D437F"/>
    <w:rsid w:val="003D56F7"/>
    <w:rsid w:val="003D629B"/>
    <w:rsid w:val="003D69EC"/>
    <w:rsid w:val="003D7A31"/>
    <w:rsid w:val="003D7B7A"/>
    <w:rsid w:val="003E0051"/>
    <w:rsid w:val="003E0511"/>
    <w:rsid w:val="003E08E0"/>
    <w:rsid w:val="003E0957"/>
    <w:rsid w:val="003E0CA7"/>
    <w:rsid w:val="003E1F29"/>
    <w:rsid w:val="003E2631"/>
    <w:rsid w:val="003E2AB7"/>
    <w:rsid w:val="003E2B93"/>
    <w:rsid w:val="003E3FEC"/>
    <w:rsid w:val="003E402A"/>
    <w:rsid w:val="003E51B1"/>
    <w:rsid w:val="003E5FA6"/>
    <w:rsid w:val="003E5FCA"/>
    <w:rsid w:val="003E6DE6"/>
    <w:rsid w:val="003F0B9C"/>
    <w:rsid w:val="003F2037"/>
    <w:rsid w:val="003F22D3"/>
    <w:rsid w:val="003F2D7A"/>
    <w:rsid w:val="003F39C8"/>
    <w:rsid w:val="003F3FC7"/>
    <w:rsid w:val="003F43E1"/>
    <w:rsid w:val="003F4905"/>
    <w:rsid w:val="003F49CF"/>
    <w:rsid w:val="003F4DE7"/>
    <w:rsid w:val="003F5319"/>
    <w:rsid w:val="003F5765"/>
    <w:rsid w:val="003F61F2"/>
    <w:rsid w:val="003F7F09"/>
    <w:rsid w:val="004000C7"/>
    <w:rsid w:val="0040284A"/>
    <w:rsid w:val="004035B2"/>
    <w:rsid w:val="00403B64"/>
    <w:rsid w:val="00404C4F"/>
    <w:rsid w:val="004051BA"/>
    <w:rsid w:val="00405E4D"/>
    <w:rsid w:val="00406E3E"/>
    <w:rsid w:val="00407101"/>
    <w:rsid w:val="00407AF8"/>
    <w:rsid w:val="00407FC9"/>
    <w:rsid w:val="00412F31"/>
    <w:rsid w:val="004133CD"/>
    <w:rsid w:val="004143C0"/>
    <w:rsid w:val="00414E51"/>
    <w:rsid w:val="00415577"/>
    <w:rsid w:val="00416336"/>
    <w:rsid w:val="004177EE"/>
    <w:rsid w:val="00420BF2"/>
    <w:rsid w:val="00420F3A"/>
    <w:rsid w:val="004215A6"/>
    <w:rsid w:val="00422650"/>
    <w:rsid w:val="00422AB3"/>
    <w:rsid w:val="00422ABC"/>
    <w:rsid w:val="00422DC4"/>
    <w:rsid w:val="00423136"/>
    <w:rsid w:val="004238E6"/>
    <w:rsid w:val="00423DD1"/>
    <w:rsid w:val="00424EF7"/>
    <w:rsid w:val="004257B6"/>
    <w:rsid w:val="00427E1F"/>
    <w:rsid w:val="00427F06"/>
    <w:rsid w:val="00427FA5"/>
    <w:rsid w:val="004306F0"/>
    <w:rsid w:val="00430CDD"/>
    <w:rsid w:val="00430D88"/>
    <w:rsid w:val="004314B7"/>
    <w:rsid w:val="004316E8"/>
    <w:rsid w:val="00433651"/>
    <w:rsid w:val="00433DE8"/>
    <w:rsid w:val="004345D4"/>
    <w:rsid w:val="00434EFF"/>
    <w:rsid w:val="00436BA4"/>
    <w:rsid w:val="00436F3D"/>
    <w:rsid w:val="004379FC"/>
    <w:rsid w:val="0044257C"/>
    <w:rsid w:val="00443055"/>
    <w:rsid w:val="0044313A"/>
    <w:rsid w:val="00443B88"/>
    <w:rsid w:val="00445B0D"/>
    <w:rsid w:val="00445F78"/>
    <w:rsid w:val="00445F92"/>
    <w:rsid w:val="00446B76"/>
    <w:rsid w:val="00446BE4"/>
    <w:rsid w:val="004478CA"/>
    <w:rsid w:val="00451D20"/>
    <w:rsid w:val="00452274"/>
    <w:rsid w:val="00452664"/>
    <w:rsid w:val="00452D41"/>
    <w:rsid w:val="00453872"/>
    <w:rsid w:val="00453989"/>
    <w:rsid w:val="00453DB6"/>
    <w:rsid w:val="0045454A"/>
    <w:rsid w:val="00454760"/>
    <w:rsid w:val="00454FA7"/>
    <w:rsid w:val="0045526C"/>
    <w:rsid w:val="00455AE3"/>
    <w:rsid w:val="00456246"/>
    <w:rsid w:val="004569DF"/>
    <w:rsid w:val="00457601"/>
    <w:rsid w:val="00460E29"/>
    <w:rsid w:val="00461739"/>
    <w:rsid w:val="0046211F"/>
    <w:rsid w:val="0046283A"/>
    <w:rsid w:val="004629D4"/>
    <w:rsid w:val="00463941"/>
    <w:rsid w:val="00463999"/>
    <w:rsid w:val="00463B41"/>
    <w:rsid w:val="004648BB"/>
    <w:rsid w:val="0046603E"/>
    <w:rsid w:val="00466F35"/>
    <w:rsid w:val="00467D1E"/>
    <w:rsid w:val="004701C8"/>
    <w:rsid w:val="00470867"/>
    <w:rsid w:val="00470BA6"/>
    <w:rsid w:val="00470C78"/>
    <w:rsid w:val="00471E29"/>
    <w:rsid w:val="00473007"/>
    <w:rsid w:val="004732EF"/>
    <w:rsid w:val="00473470"/>
    <w:rsid w:val="00473AE0"/>
    <w:rsid w:val="00473C66"/>
    <w:rsid w:val="00473EAB"/>
    <w:rsid w:val="00474DDB"/>
    <w:rsid w:val="0047550E"/>
    <w:rsid w:val="00475A85"/>
    <w:rsid w:val="0047639C"/>
    <w:rsid w:val="004772A6"/>
    <w:rsid w:val="00477A6E"/>
    <w:rsid w:val="004803D7"/>
    <w:rsid w:val="00485745"/>
    <w:rsid w:val="00485C66"/>
    <w:rsid w:val="00486DF8"/>
    <w:rsid w:val="00487454"/>
    <w:rsid w:val="00487709"/>
    <w:rsid w:val="004906F5"/>
    <w:rsid w:val="0049101B"/>
    <w:rsid w:val="004915AE"/>
    <w:rsid w:val="00491C4D"/>
    <w:rsid w:val="00492600"/>
    <w:rsid w:val="0049274A"/>
    <w:rsid w:val="00493205"/>
    <w:rsid w:val="00493935"/>
    <w:rsid w:val="004953D1"/>
    <w:rsid w:val="00496E6C"/>
    <w:rsid w:val="0049778E"/>
    <w:rsid w:val="00497CCA"/>
    <w:rsid w:val="004A0386"/>
    <w:rsid w:val="004A03F5"/>
    <w:rsid w:val="004A0893"/>
    <w:rsid w:val="004A27C6"/>
    <w:rsid w:val="004A38A8"/>
    <w:rsid w:val="004A397A"/>
    <w:rsid w:val="004A4A1B"/>
    <w:rsid w:val="004A4BE5"/>
    <w:rsid w:val="004A5BA7"/>
    <w:rsid w:val="004A5D90"/>
    <w:rsid w:val="004A6D2C"/>
    <w:rsid w:val="004B0252"/>
    <w:rsid w:val="004B0B51"/>
    <w:rsid w:val="004B10DB"/>
    <w:rsid w:val="004B348B"/>
    <w:rsid w:val="004B5894"/>
    <w:rsid w:val="004B58DE"/>
    <w:rsid w:val="004B5BB9"/>
    <w:rsid w:val="004B6252"/>
    <w:rsid w:val="004B697C"/>
    <w:rsid w:val="004B6BDF"/>
    <w:rsid w:val="004B7322"/>
    <w:rsid w:val="004B7742"/>
    <w:rsid w:val="004B787D"/>
    <w:rsid w:val="004C099A"/>
    <w:rsid w:val="004C1C9D"/>
    <w:rsid w:val="004C3E9A"/>
    <w:rsid w:val="004C4E90"/>
    <w:rsid w:val="004C6673"/>
    <w:rsid w:val="004C6972"/>
    <w:rsid w:val="004C6D63"/>
    <w:rsid w:val="004C75E5"/>
    <w:rsid w:val="004D0C9A"/>
    <w:rsid w:val="004D1090"/>
    <w:rsid w:val="004D183D"/>
    <w:rsid w:val="004D187E"/>
    <w:rsid w:val="004D1AFD"/>
    <w:rsid w:val="004D3743"/>
    <w:rsid w:val="004D4A69"/>
    <w:rsid w:val="004D4F47"/>
    <w:rsid w:val="004D605B"/>
    <w:rsid w:val="004D751B"/>
    <w:rsid w:val="004D78C1"/>
    <w:rsid w:val="004E0118"/>
    <w:rsid w:val="004E1685"/>
    <w:rsid w:val="004E19E1"/>
    <w:rsid w:val="004E3744"/>
    <w:rsid w:val="004E3746"/>
    <w:rsid w:val="004E45AD"/>
    <w:rsid w:val="004E4B4F"/>
    <w:rsid w:val="004E534B"/>
    <w:rsid w:val="004E5A3D"/>
    <w:rsid w:val="004E66B9"/>
    <w:rsid w:val="004E68ED"/>
    <w:rsid w:val="004E7374"/>
    <w:rsid w:val="004E740E"/>
    <w:rsid w:val="004E7D29"/>
    <w:rsid w:val="004F0B39"/>
    <w:rsid w:val="004F3A87"/>
    <w:rsid w:val="004F3EA9"/>
    <w:rsid w:val="004F49B4"/>
    <w:rsid w:val="004F576D"/>
    <w:rsid w:val="004F5AEA"/>
    <w:rsid w:val="004F7742"/>
    <w:rsid w:val="004F78EB"/>
    <w:rsid w:val="004F7D3A"/>
    <w:rsid w:val="00500E62"/>
    <w:rsid w:val="0050178E"/>
    <w:rsid w:val="005017BE"/>
    <w:rsid w:val="0050726B"/>
    <w:rsid w:val="005111AF"/>
    <w:rsid w:val="00511202"/>
    <w:rsid w:val="00511F0F"/>
    <w:rsid w:val="00512220"/>
    <w:rsid w:val="00513BB5"/>
    <w:rsid w:val="00513E89"/>
    <w:rsid w:val="005141FA"/>
    <w:rsid w:val="005144A9"/>
    <w:rsid w:val="005147B6"/>
    <w:rsid w:val="00514B2A"/>
    <w:rsid w:val="0051607C"/>
    <w:rsid w:val="00516395"/>
    <w:rsid w:val="0051713A"/>
    <w:rsid w:val="0052211D"/>
    <w:rsid w:val="00524629"/>
    <w:rsid w:val="005253A1"/>
    <w:rsid w:val="005253B1"/>
    <w:rsid w:val="0052548C"/>
    <w:rsid w:val="005261B8"/>
    <w:rsid w:val="00526748"/>
    <w:rsid w:val="005267D7"/>
    <w:rsid w:val="00526D2F"/>
    <w:rsid w:val="00527251"/>
    <w:rsid w:val="005328F6"/>
    <w:rsid w:val="005334A5"/>
    <w:rsid w:val="00534090"/>
    <w:rsid w:val="00534F51"/>
    <w:rsid w:val="00535DCD"/>
    <w:rsid w:val="0053790B"/>
    <w:rsid w:val="00542DE5"/>
    <w:rsid w:val="00543B1E"/>
    <w:rsid w:val="00543D47"/>
    <w:rsid w:val="005447D5"/>
    <w:rsid w:val="00546378"/>
    <w:rsid w:val="00550400"/>
    <w:rsid w:val="0055214E"/>
    <w:rsid w:val="005535E7"/>
    <w:rsid w:val="0055377D"/>
    <w:rsid w:val="005538C8"/>
    <w:rsid w:val="00553A35"/>
    <w:rsid w:val="00554DA5"/>
    <w:rsid w:val="00555D72"/>
    <w:rsid w:val="0055611D"/>
    <w:rsid w:val="00556F89"/>
    <w:rsid w:val="00557591"/>
    <w:rsid w:val="005603F4"/>
    <w:rsid w:val="00561040"/>
    <w:rsid w:val="0056175B"/>
    <w:rsid w:val="0056226E"/>
    <w:rsid w:val="00563496"/>
    <w:rsid w:val="005648BB"/>
    <w:rsid w:val="00565651"/>
    <w:rsid w:val="00565979"/>
    <w:rsid w:val="00565DF1"/>
    <w:rsid w:val="00567C0A"/>
    <w:rsid w:val="0057062A"/>
    <w:rsid w:val="00570F0B"/>
    <w:rsid w:val="00571290"/>
    <w:rsid w:val="00571762"/>
    <w:rsid w:val="00571BC6"/>
    <w:rsid w:val="00572404"/>
    <w:rsid w:val="00572B1A"/>
    <w:rsid w:val="005732AF"/>
    <w:rsid w:val="00573DC1"/>
    <w:rsid w:val="005758B2"/>
    <w:rsid w:val="00576996"/>
    <w:rsid w:val="00577D8E"/>
    <w:rsid w:val="0058077E"/>
    <w:rsid w:val="00580BE6"/>
    <w:rsid w:val="00581774"/>
    <w:rsid w:val="00582890"/>
    <w:rsid w:val="005841B3"/>
    <w:rsid w:val="005849F6"/>
    <w:rsid w:val="00584AC8"/>
    <w:rsid w:val="00585859"/>
    <w:rsid w:val="00586A0A"/>
    <w:rsid w:val="00586A9D"/>
    <w:rsid w:val="00587B64"/>
    <w:rsid w:val="0059083B"/>
    <w:rsid w:val="00590D3C"/>
    <w:rsid w:val="00592549"/>
    <w:rsid w:val="00592C0C"/>
    <w:rsid w:val="00593449"/>
    <w:rsid w:val="005955D0"/>
    <w:rsid w:val="00595CA9"/>
    <w:rsid w:val="00596446"/>
    <w:rsid w:val="00596968"/>
    <w:rsid w:val="00597ABE"/>
    <w:rsid w:val="00597FA9"/>
    <w:rsid w:val="005A1ED8"/>
    <w:rsid w:val="005A2652"/>
    <w:rsid w:val="005A319C"/>
    <w:rsid w:val="005A3635"/>
    <w:rsid w:val="005A3851"/>
    <w:rsid w:val="005A55B6"/>
    <w:rsid w:val="005A590B"/>
    <w:rsid w:val="005A5AB8"/>
    <w:rsid w:val="005A6114"/>
    <w:rsid w:val="005A66B1"/>
    <w:rsid w:val="005A6F5A"/>
    <w:rsid w:val="005A789D"/>
    <w:rsid w:val="005B03A9"/>
    <w:rsid w:val="005B2671"/>
    <w:rsid w:val="005B292C"/>
    <w:rsid w:val="005B2CA3"/>
    <w:rsid w:val="005B3D4F"/>
    <w:rsid w:val="005B4F42"/>
    <w:rsid w:val="005B527A"/>
    <w:rsid w:val="005B5C8A"/>
    <w:rsid w:val="005B5D1B"/>
    <w:rsid w:val="005B5DD1"/>
    <w:rsid w:val="005B6B8A"/>
    <w:rsid w:val="005B7C97"/>
    <w:rsid w:val="005C003A"/>
    <w:rsid w:val="005C0E17"/>
    <w:rsid w:val="005C170B"/>
    <w:rsid w:val="005C1745"/>
    <w:rsid w:val="005C1A5E"/>
    <w:rsid w:val="005C1DD4"/>
    <w:rsid w:val="005C1F41"/>
    <w:rsid w:val="005C201A"/>
    <w:rsid w:val="005C2116"/>
    <w:rsid w:val="005C235E"/>
    <w:rsid w:val="005C2E62"/>
    <w:rsid w:val="005C3B69"/>
    <w:rsid w:val="005C5471"/>
    <w:rsid w:val="005C5B6F"/>
    <w:rsid w:val="005C7A86"/>
    <w:rsid w:val="005D024D"/>
    <w:rsid w:val="005D0902"/>
    <w:rsid w:val="005D1F36"/>
    <w:rsid w:val="005D271B"/>
    <w:rsid w:val="005D2A33"/>
    <w:rsid w:val="005D3217"/>
    <w:rsid w:val="005D3610"/>
    <w:rsid w:val="005D7442"/>
    <w:rsid w:val="005D77F6"/>
    <w:rsid w:val="005E0DB4"/>
    <w:rsid w:val="005E1DD5"/>
    <w:rsid w:val="005E261D"/>
    <w:rsid w:val="005E46C5"/>
    <w:rsid w:val="005E48FB"/>
    <w:rsid w:val="005E5BAA"/>
    <w:rsid w:val="005E5EA8"/>
    <w:rsid w:val="005E6520"/>
    <w:rsid w:val="005F00E7"/>
    <w:rsid w:val="005F15D8"/>
    <w:rsid w:val="005F1B76"/>
    <w:rsid w:val="005F2FFE"/>
    <w:rsid w:val="005F3992"/>
    <w:rsid w:val="005F54DB"/>
    <w:rsid w:val="005F55D3"/>
    <w:rsid w:val="005F5A6B"/>
    <w:rsid w:val="005F72BA"/>
    <w:rsid w:val="005F76ED"/>
    <w:rsid w:val="005F7BFB"/>
    <w:rsid w:val="005F7D84"/>
    <w:rsid w:val="00600530"/>
    <w:rsid w:val="0060096B"/>
    <w:rsid w:val="00600CAE"/>
    <w:rsid w:val="006016FE"/>
    <w:rsid w:val="00602E3C"/>
    <w:rsid w:val="00602EF3"/>
    <w:rsid w:val="00603C55"/>
    <w:rsid w:val="006070B1"/>
    <w:rsid w:val="006078D5"/>
    <w:rsid w:val="00607F29"/>
    <w:rsid w:val="00610086"/>
    <w:rsid w:val="00610CE5"/>
    <w:rsid w:val="00611F56"/>
    <w:rsid w:val="006124FB"/>
    <w:rsid w:val="006127E1"/>
    <w:rsid w:val="006129BA"/>
    <w:rsid w:val="00612E1A"/>
    <w:rsid w:val="0061304B"/>
    <w:rsid w:val="0061471E"/>
    <w:rsid w:val="0061499F"/>
    <w:rsid w:val="006151C7"/>
    <w:rsid w:val="006155B1"/>
    <w:rsid w:val="0061649C"/>
    <w:rsid w:val="0061657D"/>
    <w:rsid w:val="006178D7"/>
    <w:rsid w:val="0062040C"/>
    <w:rsid w:val="0062099F"/>
    <w:rsid w:val="006215B4"/>
    <w:rsid w:val="00622E45"/>
    <w:rsid w:val="006244BA"/>
    <w:rsid w:val="006245DF"/>
    <w:rsid w:val="00624EBF"/>
    <w:rsid w:val="006256AB"/>
    <w:rsid w:val="00625A9A"/>
    <w:rsid w:val="00626073"/>
    <w:rsid w:val="0062633C"/>
    <w:rsid w:val="006309AD"/>
    <w:rsid w:val="006317CC"/>
    <w:rsid w:val="00631A4D"/>
    <w:rsid w:val="00631B84"/>
    <w:rsid w:val="00634353"/>
    <w:rsid w:val="00637526"/>
    <w:rsid w:val="00640A1B"/>
    <w:rsid w:val="00640AC3"/>
    <w:rsid w:val="00641C5A"/>
    <w:rsid w:val="006420E9"/>
    <w:rsid w:val="0064391D"/>
    <w:rsid w:val="00644E15"/>
    <w:rsid w:val="006450DE"/>
    <w:rsid w:val="00645230"/>
    <w:rsid w:val="006454DD"/>
    <w:rsid w:val="00646391"/>
    <w:rsid w:val="00646CCD"/>
    <w:rsid w:val="006472AF"/>
    <w:rsid w:val="0064742D"/>
    <w:rsid w:val="00647E0E"/>
    <w:rsid w:val="006510EE"/>
    <w:rsid w:val="00651C27"/>
    <w:rsid w:val="00651F2B"/>
    <w:rsid w:val="006531F0"/>
    <w:rsid w:val="0065322F"/>
    <w:rsid w:val="00654B31"/>
    <w:rsid w:val="00655A74"/>
    <w:rsid w:val="00655E00"/>
    <w:rsid w:val="00657AC4"/>
    <w:rsid w:val="006610E5"/>
    <w:rsid w:val="006612D5"/>
    <w:rsid w:val="006612E3"/>
    <w:rsid w:val="00661E0F"/>
    <w:rsid w:val="0066232D"/>
    <w:rsid w:val="00662C9E"/>
    <w:rsid w:val="0066318E"/>
    <w:rsid w:val="00663462"/>
    <w:rsid w:val="00663F16"/>
    <w:rsid w:val="006647A7"/>
    <w:rsid w:val="006648C1"/>
    <w:rsid w:val="00665415"/>
    <w:rsid w:val="00666182"/>
    <w:rsid w:val="00666B33"/>
    <w:rsid w:val="00667294"/>
    <w:rsid w:val="00667450"/>
    <w:rsid w:val="00667D3B"/>
    <w:rsid w:val="00670033"/>
    <w:rsid w:val="00673100"/>
    <w:rsid w:val="006735B3"/>
    <w:rsid w:val="00675ACF"/>
    <w:rsid w:val="00675C88"/>
    <w:rsid w:val="00676250"/>
    <w:rsid w:val="006766FD"/>
    <w:rsid w:val="00676DC2"/>
    <w:rsid w:val="006779C2"/>
    <w:rsid w:val="00680AC3"/>
    <w:rsid w:val="00682A5C"/>
    <w:rsid w:val="0068536F"/>
    <w:rsid w:val="00686BD9"/>
    <w:rsid w:val="006878A3"/>
    <w:rsid w:val="006911D2"/>
    <w:rsid w:val="00693F56"/>
    <w:rsid w:val="00694BB3"/>
    <w:rsid w:val="00695768"/>
    <w:rsid w:val="00695A90"/>
    <w:rsid w:val="00697497"/>
    <w:rsid w:val="00697907"/>
    <w:rsid w:val="00697C60"/>
    <w:rsid w:val="006A070D"/>
    <w:rsid w:val="006A18E2"/>
    <w:rsid w:val="006A20F4"/>
    <w:rsid w:val="006A2A39"/>
    <w:rsid w:val="006A6AB1"/>
    <w:rsid w:val="006A6CAF"/>
    <w:rsid w:val="006A7EC1"/>
    <w:rsid w:val="006B0BE3"/>
    <w:rsid w:val="006B13CD"/>
    <w:rsid w:val="006B1B15"/>
    <w:rsid w:val="006B1DD6"/>
    <w:rsid w:val="006B22E3"/>
    <w:rsid w:val="006B25CB"/>
    <w:rsid w:val="006B2B6C"/>
    <w:rsid w:val="006B2B87"/>
    <w:rsid w:val="006B3598"/>
    <w:rsid w:val="006B3A43"/>
    <w:rsid w:val="006B41B3"/>
    <w:rsid w:val="006B449B"/>
    <w:rsid w:val="006B49B1"/>
    <w:rsid w:val="006B4F26"/>
    <w:rsid w:val="006B775D"/>
    <w:rsid w:val="006B78FF"/>
    <w:rsid w:val="006B7C88"/>
    <w:rsid w:val="006B7D28"/>
    <w:rsid w:val="006B7DAC"/>
    <w:rsid w:val="006C03AE"/>
    <w:rsid w:val="006C056D"/>
    <w:rsid w:val="006C1F91"/>
    <w:rsid w:val="006C21BE"/>
    <w:rsid w:val="006C45E1"/>
    <w:rsid w:val="006C52B0"/>
    <w:rsid w:val="006C5B51"/>
    <w:rsid w:val="006C5EFF"/>
    <w:rsid w:val="006C65A0"/>
    <w:rsid w:val="006C6CBC"/>
    <w:rsid w:val="006C74A2"/>
    <w:rsid w:val="006C7861"/>
    <w:rsid w:val="006C7DD0"/>
    <w:rsid w:val="006D03A4"/>
    <w:rsid w:val="006D0EAD"/>
    <w:rsid w:val="006D0EC0"/>
    <w:rsid w:val="006D1875"/>
    <w:rsid w:val="006D2423"/>
    <w:rsid w:val="006D3103"/>
    <w:rsid w:val="006D329A"/>
    <w:rsid w:val="006D35B1"/>
    <w:rsid w:val="006D399E"/>
    <w:rsid w:val="006D3BBC"/>
    <w:rsid w:val="006D43EF"/>
    <w:rsid w:val="006D4557"/>
    <w:rsid w:val="006D47C9"/>
    <w:rsid w:val="006D4D35"/>
    <w:rsid w:val="006D51C4"/>
    <w:rsid w:val="006D5207"/>
    <w:rsid w:val="006D5729"/>
    <w:rsid w:val="006D62C1"/>
    <w:rsid w:val="006D6910"/>
    <w:rsid w:val="006D6BAD"/>
    <w:rsid w:val="006D7191"/>
    <w:rsid w:val="006E195C"/>
    <w:rsid w:val="006E1981"/>
    <w:rsid w:val="006E1A7A"/>
    <w:rsid w:val="006E2375"/>
    <w:rsid w:val="006E2483"/>
    <w:rsid w:val="006E2827"/>
    <w:rsid w:val="006E31D7"/>
    <w:rsid w:val="006E41D7"/>
    <w:rsid w:val="006E6143"/>
    <w:rsid w:val="006E62A4"/>
    <w:rsid w:val="006E6835"/>
    <w:rsid w:val="006E69AB"/>
    <w:rsid w:val="006E6AE5"/>
    <w:rsid w:val="006E7126"/>
    <w:rsid w:val="006E7BF0"/>
    <w:rsid w:val="006E7CA3"/>
    <w:rsid w:val="006F0934"/>
    <w:rsid w:val="006F0AD1"/>
    <w:rsid w:val="006F0E42"/>
    <w:rsid w:val="006F1357"/>
    <w:rsid w:val="006F35F0"/>
    <w:rsid w:val="006F3A9F"/>
    <w:rsid w:val="006F3B0D"/>
    <w:rsid w:val="006F6522"/>
    <w:rsid w:val="006F7017"/>
    <w:rsid w:val="006F7B7D"/>
    <w:rsid w:val="00702646"/>
    <w:rsid w:val="007028DC"/>
    <w:rsid w:val="007029B1"/>
    <w:rsid w:val="00703F95"/>
    <w:rsid w:val="00704921"/>
    <w:rsid w:val="0070498B"/>
    <w:rsid w:val="00704DFA"/>
    <w:rsid w:val="00705798"/>
    <w:rsid w:val="00706F3A"/>
    <w:rsid w:val="00707F0A"/>
    <w:rsid w:val="00707F7A"/>
    <w:rsid w:val="007105E0"/>
    <w:rsid w:val="00710AE6"/>
    <w:rsid w:val="00710B1B"/>
    <w:rsid w:val="00710D0A"/>
    <w:rsid w:val="00711250"/>
    <w:rsid w:val="00711873"/>
    <w:rsid w:val="00714421"/>
    <w:rsid w:val="007144B5"/>
    <w:rsid w:val="00714817"/>
    <w:rsid w:val="00716196"/>
    <w:rsid w:val="00716404"/>
    <w:rsid w:val="0071688F"/>
    <w:rsid w:val="007169ED"/>
    <w:rsid w:val="00716E72"/>
    <w:rsid w:val="00717985"/>
    <w:rsid w:val="0072050A"/>
    <w:rsid w:val="00722266"/>
    <w:rsid w:val="00722EF9"/>
    <w:rsid w:val="007234D3"/>
    <w:rsid w:val="0072402F"/>
    <w:rsid w:val="00724459"/>
    <w:rsid w:val="0072473C"/>
    <w:rsid w:val="00724808"/>
    <w:rsid w:val="00724886"/>
    <w:rsid w:val="00726642"/>
    <w:rsid w:val="00726F51"/>
    <w:rsid w:val="007302EF"/>
    <w:rsid w:val="00730E73"/>
    <w:rsid w:val="00730F9D"/>
    <w:rsid w:val="00731054"/>
    <w:rsid w:val="00731FFE"/>
    <w:rsid w:val="007328EC"/>
    <w:rsid w:val="0073357A"/>
    <w:rsid w:val="007337D3"/>
    <w:rsid w:val="00733A32"/>
    <w:rsid w:val="007341B2"/>
    <w:rsid w:val="00734B42"/>
    <w:rsid w:val="00734E8F"/>
    <w:rsid w:val="007359E9"/>
    <w:rsid w:val="00736611"/>
    <w:rsid w:val="0073676D"/>
    <w:rsid w:val="007367A9"/>
    <w:rsid w:val="00736EA0"/>
    <w:rsid w:val="007400FA"/>
    <w:rsid w:val="0074064C"/>
    <w:rsid w:val="00741AE2"/>
    <w:rsid w:val="00742026"/>
    <w:rsid w:val="007423E1"/>
    <w:rsid w:val="00743F09"/>
    <w:rsid w:val="007441D7"/>
    <w:rsid w:val="00745533"/>
    <w:rsid w:val="0074670D"/>
    <w:rsid w:val="0074779B"/>
    <w:rsid w:val="007478C1"/>
    <w:rsid w:val="00747B57"/>
    <w:rsid w:val="00751768"/>
    <w:rsid w:val="00751FD2"/>
    <w:rsid w:val="007536FD"/>
    <w:rsid w:val="007547CA"/>
    <w:rsid w:val="00755731"/>
    <w:rsid w:val="0075598D"/>
    <w:rsid w:val="00756AC6"/>
    <w:rsid w:val="00761410"/>
    <w:rsid w:val="00761B14"/>
    <w:rsid w:val="00762E4E"/>
    <w:rsid w:val="0076336D"/>
    <w:rsid w:val="00763E5D"/>
    <w:rsid w:val="007643E8"/>
    <w:rsid w:val="00765BDB"/>
    <w:rsid w:val="00766345"/>
    <w:rsid w:val="007668D2"/>
    <w:rsid w:val="00766B09"/>
    <w:rsid w:val="00767602"/>
    <w:rsid w:val="00767930"/>
    <w:rsid w:val="00770412"/>
    <w:rsid w:val="007704B6"/>
    <w:rsid w:val="00770C39"/>
    <w:rsid w:val="00772FB7"/>
    <w:rsid w:val="007735DA"/>
    <w:rsid w:val="00774140"/>
    <w:rsid w:val="007745EA"/>
    <w:rsid w:val="0077492D"/>
    <w:rsid w:val="007755A9"/>
    <w:rsid w:val="0077597C"/>
    <w:rsid w:val="00775E17"/>
    <w:rsid w:val="00776D86"/>
    <w:rsid w:val="0077788B"/>
    <w:rsid w:val="00777BA5"/>
    <w:rsid w:val="00780340"/>
    <w:rsid w:val="0078056B"/>
    <w:rsid w:val="00782901"/>
    <w:rsid w:val="00782E1C"/>
    <w:rsid w:val="007834BD"/>
    <w:rsid w:val="0078362E"/>
    <w:rsid w:val="007848DE"/>
    <w:rsid w:val="00784E75"/>
    <w:rsid w:val="00784E7F"/>
    <w:rsid w:val="00785359"/>
    <w:rsid w:val="00785C42"/>
    <w:rsid w:val="007862E8"/>
    <w:rsid w:val="00786B8E"/>
    <w:rsid w:val="00787D56"/>
    <w:rsid w:val="00787FE4"/>
    <w:rsid w:val="00791B9D"/>
    <w:rsid w:val="00791C9B"/>
    <w:rsid w:val="00792019"/>
    <w:rsid w:val="0079205C"/>
    <w:rsid w:val="00793491"/>
    <w:rsid w:val="00793D0D"/>
    <w:rsid w:val="00796243"/>
    <w:rsid w:val="007A0D5A"/>
    <w:rsid w:val="007A1F10"/>
    <w:rsid w:val="007A20BD"/>
    <w:rsid w:val="007A2A64"/>
    <w:rsid w:val="007A508C"/>
    <w:rsid w:val="007A5715"/>
    <w:rsid w:val="007A6D13"/>
    <w:rsid w:val="007B028B"/>
    <w:rsid w:val="007B0CC1"/>
    <w:rsid w:val="007B16BD"/>
    <w:rsid w:val="007B2D5F"/>
    <w:rsid w:val="007B3A48"/>
    <w:rsid w:val="007B4268"/>
    <w:rsid w:val="007B5058"/>
    <w:rsid w:val="007B52AB"/>
    <w:rsid w:val="007B52BE"/>
    <w:rsid w:val="007B536B"/>
    <w:rsid w:val="007B666E"/>
    <w:rsid w:val="007B6FCA"/>
    <w:rsid w:val="007C0DA3"/>
    <w:rsid w:val="007C11CA"/>
    <w:rsid w:val="007C2924"/>
    <w:rsid w:val="007C29DD"/>
    <w:rsid w:val="007C2B6D"/>
    <w:rsid w:val="007C34DA"/>
    <w:rsid w:val="007C34EA"/>
    <w:rsid w:val="007C3604"/>
    <w:rsid w:val="007C3A55"/>
    <w:rsid w:val="007C4354"/>
    <w:rsid w:val="007C4AF6"/>
    <w:rsid w:val="007C56CA"/>
    <w:rsid w:val="007C5748"/>
    <w:rsid w:val="007C69C0"/>
    <w:rsid w:val="007C7D10"/>
    <w:rsid w:val="007C7F1E"/>
    <w:rsid w:val="007D00E5"/>
    <w:rsid w:val="007D0641"/>
    <w:rsid w:val="007D1599"/>
    <w:rsid w:val="007D4286"/>
    <w:rsid w:val="007D4CAE"/>
    <w:rsid w:val="007D5246"/>
    <w:rsid w:val="007D61F4"/>
    <w:rsid w:val="007D6AF1"/>
    <w:rsid w:val="007D7A50"/>
    <w:rsid w:val="007E0BCD"/>
    <w:rsid w:val="007E0C04"/>
    <w:rsid w:val="007E0CBC"/>
    <w:rsid w:val="007E1D3D"/>
    <w:rsid w:val="007E1D74"/>
    <w:rsid w:val="007E1F48"/>
    <w:rsid w:val="007E2BFD"/>
    <w:rsid w:val="007E30A6"/>
    <w:rsid w:val="007F1D8F"/>
    <w:rsid w:val="007F2399"/>
    <w:rsid w:val="007F282B"/>
    <w:rsid w:val="007F2C01"/>
    <w:rsid w:val="007F466B"/>
    <w:rsid w:val="007F53C7"/>
    <w:rsid w:val="007F633D"/>
    <w:rsid w:val="007F6958"/>
    <w:rsid w:val="007F6CBD"/>
    <w:rsid w:val="007F6FA6"/>
    <w:rsid w:val="007F725F"/>
    <w:rsid w:val="00800759"/>
    <w:rsid w:val="0080152B"/>
    <w:rsid w:val="008024B2"/>
    <w:rsid w:val="00804A26"/>
    <w:rsid w:val="00805417"/>
    <w:rsid w:val="0080595F"/>
    <w:rsid w:val="00806886"/>
    <w:rsid w:val="00810104"/>
    <w:rsid w:val="00810E80"/>
    <w:rsid w:val="00810E9F"/>
    <w:rsid w:val="008114C1"/>
    <w:rsid w:val="00815231"/>
    <w:rsid w:val="00817032"/>
    <w:rsid w:val="00817D98"/>
    <w:rsid w:val="00820364"/>
    <w:rsid w:val="00820589"/>
    <w:rsid w:val="0082091E"/>
    <w:rsid w:val="008212AE"/>
    <w:rsid w:val="00822849"/>
    <w:rsid w:val="00822FAE"/>
    <w:rsid w:val="00823081"/>
    <w:rsid w:val="008238B3"/>
    <w:rsid w:val="008247A9"/>
    <w:rsid w:val="00825589"/>
    <w:rsid w:val="008305E4"/>
    <w:rsid w:val="00830C8E"/>
    <w:rsid w:val="00831B7F"/>
    <w:rsid w:val="008329BE"/>
    <w:rsid w:val="0083307C"/>
    <w:rsid w:val="00833295"/>
    <w:rsid w:val="008332CE"/>
    <w:rsid w:val="00834287"/>
    <w:rsid w:val="00834652"/>
    <w:rsid w:val="00834E45"/>
    <w:rsid w:val="00835890"/>
    <w:rsid w:val="00835B77"/>
    <w:rsid w:val="00835BD9"/>
    <w:rsid w:val="00835E5B"/>
    <w:rsid w:val="0083618E"/>
    <w:rsid w:val="008368FC"/>
    <w:rsid w:val="00840C40"/>
    <w:rsid w:val="0084156F"/>
    <w:rsid w:val="008421AE"/>
    <w:rsid w:val="0084237F"/>
    <w:rsid w:val="008429C3"/>
    <w:rsid w:val="00845604"/>
    <w:rsid w:val="00845B6F"/>
    <w:rsid w:val="0085014C"/>
    <w:rsid w:val="008506E2"/>
    <w:rsid w:val="00850E40"/>
    <w:rsid w:val="008515E6"/>
    <w:rsid w:val="00851743"/>
    <w:rsid w:val="008529D3"/>
    <w:rsid w:val="00852D68"/>
    <w:rsid w:val="00854A4A"/>
    <w:rsid w:val="00854B1E"/>
    <w:rsid w:val="008557AF"/>
    <w:rsid w:val="00856050"/>
    <w:rsid w:val="00856B29"/>
    <w:rsid w:val="0085753F"/>
    <w:rsid w:val="00857571"/>
    <w:rsid w:val="0086051B"/>
    <w:rsid w:val="008614BD"/>
    <w:rsid w:val="0086154F"/>
    <w:rsid w:val="0086168D"/>
    <w:rsid w:val="00863119"/>
    <w:rsid w:val="00863B53"/>
    <w:rsid w:val="00863E6E"/>
    <w:rsid w:val="00864AC1"/>
    <w:rsid w:val="008651AB"/>
    <w:rsid w:val="0086720A"/>
    <w:rsid w:val="00867561"/>
    <w:rsid w:val="00873009"/>
    <w:rsid w:val="008730FA"/>
    <w:rsid w:val="00873E44"/>
    <w:rsid w:val="00875540"/>
    <w:rsid w:val="00875599"/>
    <w:rsid w:val="008756BE"/>
    <w:rsid w:val="008758C9"/>
    <w:rsid w:val="00876011"/>
    <w:rsid w:val="00876023"/>
    <w:rsid w:val="00876C5F"/>
    <w:rsid w:val="008772B7"/>
    <w:rsid w:val="00877563"/>
    <w:rsid w:val="00880454"/>
    <w:rsid w:val="0088054F"/>
    <w:rsid w:val="008808A7"/>
    <w:rsid w:val="00881363"/>
    <w:rsid w:val="00882146"/>
    <w:rsid w:val="00882B0C"/>
    <w:rsid w:val="00883461"/>
    <w:rsid w:val="008839D1"/>
    <w:rsid w:val="0088466D"/>
    <w:rsid w:val="00885270"/>
    <w:rsid w:val="0088589B"/>
    <w:rsid w:val="0088598C"/>
    <w:rsid w:val="00887928"/>
    <w:rsid w:val="008907DD"/>
    <w:rsid w:val="00890B17"/>
    <w:rsid w:val="00892049"/>
    <w:rsid w:val="0089268D"/>
    <w:rsid w:val="008929DB"/>
    <w:rsid w:val="00894FCE"/>
    <w:rsid w:val="00895C18"/>
    <w:rsid w:val="008960D0"/>
    <w:rsid w:val="00896CFF"/>
    <w:rsid w:val="008A13BD"/>
    <w:rsid w:val="008A1D00"/>
    <w:rsid w:val="008A23AB"/>
    <w:rsid w:val="008A2553"/>
    <w:rsid w:val="008A2700"/>
    <w:rsid w:val="008A29A0"/>
    <w:rsid w:val="008A38A2"/>
    <w:rsid w:val="008A503E"/>
    <w:rsid w:val="008A63E2"/>
    <w:rsid w:val="008A6465"/>
    <w:rsid w:val="008A76B5"/>
    <w:rsid w:val="008A7DB7"/>
    <w:rsid w:val="008B0512"/>
    <w:rsid w:val="008B0BED"/>
    <w:rsid w:val="008B13C2"/>
    <w:rsid w:val="008B3056"/>
    <w:rsid w:val="008B3301"/>
    <w:rsid w:val="008B36A5"/>
    <w:rsid w:val="008B3AF6"/>
    <w:rsid w:val="008B534B"/>
    <w:rsid w:val="008B5404"/>
    <w:rsid w:val="008B6437"/>
    <w:rsid w:val="008B65EA"/>
    <w:rsid w:val="008B6D57"/>
    <w:rsid w:val="008B74B8"/>
    <w:rsid w:val="008B7EC8"/>
    <w:rsid w:val="008C271E"/>
    <w:rsid w:val="008C2998"/>
    <w:rsid w:val="008C29A6"/>
    <w:rsid w:val="008C5442"/>
    <w:rsid w:val="008C5C84"/>
    <w:rsid w:val="008C64C0"/>
    <w:rsid w:val="008C68B6"/>
    <w:rsid w:val="008C701C"/>
    <w:rsid w:val="008C7714"/>
    <w:rsid w:val="008D0787"/>
    <w:rsid w:val="008D0C72"/>
    <w:rsid w:val="008D0D44"/>
    <w:rsid w:val="008D2085"/>
    <w:rsid w:val="008D3538"/>
    <w:rsid w:val="008D3889"/>
    <w:rsid w:val="008D5669"/>
    <w:rsid w:val="008D719D"/>
    <w:rsid w:val="008E026A"/>
    <w:rsid w:val="008E0EAA"/>
    <w:rsid w:val="008E11DD"/>
    <w:rsid w:val="008E1D33"/>
    <w:rsid w:val="008E348A"/>
    <w:rsid w:val="008E50A9"/>
    <w:rsid w:val="008E561B"/>
    <w:rsid w:val="008E58C4"/>
    <w:rsid w:val="008E5B1C"/>
    <w:rsid w:val="008E5DC1"/>
    <w:rsid w:val="008E6079"/>
    <w:rsid w:val="008E750A"/>
    <w:rsid w:val="008E7742"/>
    <w:rsid w:val="008F0673"/>
    <w:rsid w:val="008F10DB"/>
    <w:rsid w:val="008F2D5E"/>
    <w:rsid w:val="008F3846"/>
    <w:rsid w:val="008F3A3B"/>
    <w:rsid w:val="008F3F2F"/>
    <w:rsid w:val="008F4EDD"/>
    <w:rsid w:val="008F62A8"/>
    <w:rsid w:val="008F6662"/>
    <w:rsid w:val="008F69D9"/>
    <w:rsid w:val="008F701B"/>
    <w:rsid w:val="008F715C"/>
    <w:rsid w:val="008F72A4"/>
    <w:rsid w:val="009008FB"/>
    <w:rsid w:val="00901187"/>
    <w:rsid w:val="00902986"/>
    <w:rsid w:val="00902DAE"/>
    <w:rsid w:val="0090359D"/>
    <w:rsid w:val="0090423E"/>
    <w:rsid w:val="00904AD4"/>
    <w:rsid w:val="0090535C"/>
    <w:rsid w:val="00905915"/>
    <w:rsid w:val="00905C0B"/>
    <w:rsid w:val="009060D0"/>
    <w:rsid w:val="009069ED"/>
    <w:rsid w:val="00906F5E"/>
    <w:rsid w:val="009074D7"/>
    <w:rsid w:val="00907A4F"/>
    <w:rsid w:val="00912DC4"/>
    <w:rsid w:val="00912E4A"/>
    <w:rsid w:val="0091530E"/>
    <w:rsid w:val="009178AF"/>
    <w:rsid w:val="009213E5"/>
    <w:rsid w:val="009218FA"/>
    <w:rsid w:val="0092241D"/>
    <w:rsid w:val="00922FC4"/>
    <w:rsid w:val="00925C4F"/>
    <w:rsid w:val="00926A73"/>
    <w:rsid w:val="009276D3"/>
    <w:rsid w:val="0092770A"/>
    <w:rsid w:val="00927870"/>
    <w:rsid w:val="00927B26"/>
    <w:rsid w:val="00927EC4"/>
    <w:rsid w:val="009307BD"/>
    <w:rsid w:val="00932486"/>
    <w:rsid w:val="0093297F"/>
    <w:rsid w:val="00933B58"/>
    <w:rsid w:val="00933FB2"/>
    <w:rsid w:val="00935B71"/>
    <w:rsid w:val="00937072"/>
    <w:rsid w:val="0094101F"/>
    <w:rsid w:val="009416EC"/>
    <w:rsid w:val="00941DD8"/>
    <w:rsid w:val="009425F2"/>
    <w:rsid w:val="00943E0F"/>
    <w:rsid w:val="00944B83"/>
    <w:rsid w:val="009457EE"/>
    <w:rsid w:val="009476D9"/>
    <w:rsid w:val="00947B1C"/>
    <w:rsid w:val="0095168C"/>
    <w:rsid w:val="00951A99"/>
    <w:rsid w:val="0095475A"/>
    <w:rsid w:val="00956710"/>
    <w:rsid w:val="00960189"/>
    <w:rsid w:val="00960423"/>
    <w:rsid w:val="00960DA4"/>
    <w:rsid w:val="00962975"/>
    <w:rsid w:val="00963E54"/>
    <w:rsid w:val="009660DA"/>
    <w:rsid w:val="0096765B"/>
    <w:rsid w:val="00967BCF"/>
    <w:rsid w:val="00971499"/>
    <w:rsid w:val="00971772"/>
    <w:rsid w:val="00971FC8"/>
    <w:rsid w:val="00971FEB"/>
    <w:rsid w:val="00972077"/>
    <w:rsid w:val="0097214F"/>
    <w:rsid w:val="009726D3"/>
    <w:rsid w:val="00974025"/>
    <w:rsid w:val="00974BB0"/>
    <w:rsid w:val="0097633D"/>
    <w:rsid w:val="00976AFA"/>
    <w:rsid w:val="009773FC"/>
    <w:rsid w:val="0097747D"/>
    <w:rsid w:val="00977B5F"/>
    <w:rsid w:val="00977C50"/>
    <w:rsid w:val="009808D0"/>
    <w:rsid w:val="009814B5"/>
    <w:rsid w:val="0098263F"/>
    <w:rsid w:val="00982751"/>
    <w:rsid w:val="00983108"/>
    <w:rsid w:val="00983913"/>
    <w:rsid w:val="0098432C"/>
    <w:rsid w:val="009846F7"/>
    <w:rsid w:val="009850FE"/>
    <w:rsid w:val="00985161"/>
    <w:rsid w:val="00985803"/>
    <w:rsid w:val="009864FD"/>
    <w:rsid w:val="00987065"/>
    <w:rsid w:val="00990193"/>
    <w:rsid w:val="00990F60"/>
    <w:rsid w:val="00991181"/>
    <w:rsid w:val="00991634"/>
    <w:rsid w:val="009923B3"/>
    <w:rsid w:val="00992DA4"/>
    <w:rsid w:val="00994E0D"/>
    <w:rsid w:val="00994F7F"/>
    <w:rsid w:val="009956DA"/>
    <w:rsid w:val="00996299"/>
    <w:rsid w:val="00996BC4"/>
    <w:rsid w:val="00997111"/>
    <w:rsid w:val="00997579"/>
    <w:rsid w:val="009A004E"/>
    <w:rsid w:val="009A0DCE"/>
    <w:rsid w:val="009A2558"/>
    <w:rsid w:val="009A4239"/>
    <w:rsid w:val="009A45BF"/>
    <w:rsid w:val="009A4F1C"/>
    <w:rsid w:val="009A53FF"/>
    <w:rsid w:val="009A550A"/>
    <w:rsid w:val="009A5D5C"/>
    <w:rsid w:val="009B037F"/>
    <w:rsid w:val="009B28A5"/>
    <w:rsid w:val="009B547C"/>
    <w:rsid w:val="009B5E6F"/>
    <w:rsid w:val="009B6155"/>
    <w:rsid w:val="009B6B9D"/>
    <w:rsid w:val="009B6EAB"/>
    <w:rsid w:val="009C00E6"/>
    <w:rsid w:val="009C1BC2"/>
    <w:rsid w:val="009C2B4E"/>
    <w:rsid w:val="009C352F"/>
    <w:rsid w:val="009C4BD7"/>
    <w:rsid w:val="009C71ED"/>
    <w:rsid w:val="009C7D8E"/>
    <w:rsid w:val="009D0AF3"/>
    <w:rsid w:val="009D1198"/>
    <w:rsid w:val="009D2807"/>
    <w:rsid w:val="009D34B5"/>
    <w:rsid w:val="009D383F"/>
    <w:rsid w:val="009D3DA1"/>
    <w:rsid w:val="009D4557"/>
    <w:rsid w:val="009D49EF"/>
    <w:rsid w:val="009D5254"/>
    <w:rsid w:val="009D5C74"/>
    <w:rsid w:val="009D5EEB"/>
    <w:rsid w:val="009D66E0"/>
    <w:rsid w:val="009D6B5A"/>
    <w:rsid w:val="009D7A7B"/>
    <w:rsid w:val="009E0792"/>
    <w:rsid w:val="009E098C"/>
    <w:rsid w:val="009E1D88"/>
    <w:rsid w:val="009E318B"/>
    <w:rsid w:val="009E4635"/>
    <w:rsid w:val="009E5357"/>
    <w:rsid w:val="009E54C7"/>
    <w:rsid w:val="009E6463"/>
    <w:rsid w:val="009E7D0A"/>
    <w:rsid w:val="009F00E6"/>
    <w:rsid w:val="009F0540"/>
    <w:rsid w:val="009F0FF6"/>
    <w:rsid w:val="009F10F7"/>
    <w:rsid w:val="009F1915"/>
    <w:rsid w:val="009F2366"/>
    <w:rsid w:val="009F24F1"/>
    <w:rsid w:val="009F2A1D"/>
    <w:rsid w:val="009F2C62"/>
    <w:rsid w:val="009F3CC3"/>
    <w:rsid w:val="009F4358"/>
    <w:rsid w:val="009F4961"/>
    <w:rsid w:val="009F589B"/>
    <w:rsid w:val="009F64A8"/>
    <w:rsid w:val="009F7E29"/>
    <w:rsid w:val="00A01244"/>
    <w:rsid w:val="00A01B62"/>
    <w:rsid w:val="00A02E60"/>
    <w:rsid w:val="00A03912"/>
    <w:rsid w:val="00A0590E"/>
    <w:rsid w:val="00A06931"/>
    <w:rsid w:val="00A06A6C"/>
    <w:rsid w:val="00A10EEC"/>
    <w:rsid w:val="00A11A5C"/>
    <w:rsid w:val="00A122EF"/>
    <w:rsid w:val="00A124D1"/>
    <w:rsid w:val="00A12C20"/>
    <w:rsid w:val="00A1410B"/>
    <w:rsid w:val="00A146B1"/>
    <w:rsid w:val="00A14C1B"/>
    <w:rsid w:val="00A15BF8"/>
    <w:rsid w:val="00A16773"/>
    <w:rsid w:val="00A1763D"/>
    <w:rsid w:val="00A205E9"/>
    <w:rsid w:val="00A20ADA"/>
    <w:rsid w:val="00A2195A"/>
    <w:rsid w:val="00A22FFD"/>
    <w:rsid w:val="00A23612"/>
    <w:rsid w:val="00A239A3"/>
    <w:rsid w:val="00A23D78"/>
    <w:rsid w:val="00A244DD"/>
    <w:rsid w:val="00A24777"/>
    <w:rsid w:val="00A24CE5"/>
    <w:rsid w:val="00A25D1E"/>
    <w:rsid w:val="00A27782"/>
    <w:rsid w:val="00A30937"/>
    <w:rsid w:val="00A30A82"/>
    <w:rsid w:val="00A320BF"/>
    <w:rsid w:val="00A32BB1"/>
    <w:rsid w:val="00A32C06"/>
    <w:rsid w:val="00A32E91"/>
    <w:rsid w:val="00A349AA"/>
    <w:rsid w:val="00A35AA1"/>
    <w:rsid w:val="00A35E95"/>
    <w:rsid w:val="00A36498"/>
    <w:rsid w:val="00A40950"/>
    <w:rsid w:val="00A40999"/>
    <w:rsid w:val="00A4116B"/>
    <w:rsid w:val="00A415D5"/>
    <w:rsid w:val="00A42A20"/>
    <w:rsid w:val="00A42A79"/>
    <w:rsid w:val="00A446E3"/>
    <w:rsid w:val="00A454EA"/>
    <w:rsid w:val="00A46276"/>
    <w:rsid w:val="00A50064"/>
    <w:rsid w:val="00A5042E"/>
    <w:rsid w:val="00A50441"/>
    <w:rsid w:val="00A50978"/>
    <w:rsid w:val="00A50D17"/>
    <w:rsid w:val="00A51C9F"/>
    <w:rsid w:val="00A51F59"/>
    <w:rsid w:val="00A523D0"/>
    <w:rsid w:val="00A5417D"/>
    <w:rsid w:val="00A54B76"/>
    <w:rsid w:val="00A5587C"/>
    <w:rsid w:val="00A55A1F"/>
    <w:rsid w:val="00A5735A"/>
    <w:rsid w:val="00A60FB9"/>
    <w:rsid w:val="00A61448"/>
    <w:rsid w:val="00A61808"/>
    <w:rsid w:val="00A6199E"/>
    <w:rsid w:val="00A6284D"/>
    <w:rsid w:val="00A645C8"/>
    <w:rsid w:val="00A64CE2"/>
    <w:rsid w:val="00A654E1"/>
    <w:rsid w:val="00A65A47"/>
    <w:rsid w:val="00A6665A"/>
    <w:rsid w:val="00A66816"/>
    <w:rsid w:val="00A66A71"/>
    <w:rsid w:val="00A66ABF"/>
    <w:rsid w:val="00A67833"/>
    <w:rsid w:val="00A67B08"/>
    <w:rsid w:val="00A67FE9"/>
    <w:rsid w:val="00A7050D"/>
    <w:rsid w:val="00A70544"/>
    <w:rsid w:val="00A70BBA"/>
    <w:rsid w:val="00A71426"/>
    <w:rsid w:val="00A71CD5"/>
    <w:rsid w:val="00A720B7"/>
    <w:rsid w:val="00A72933"/>
    <w:rsid w:val="00A7378C"/>
    <w:rsid w:val="00A73BC2"/>
    <w:rsid w:val="00A73F99"/>
    <w:rsid w:val="00A743AF"/>
    <w:rsid w:val="00A7479E"/>
    <w:rsid w:val="00A74AB1"/>
    <w:rsid w:val="00A74B28"/>
    <w:rsid w:val="00A751FE"/>
    <w:rsid w:val="00A754CB"/>
    <w:rsid w:val="00A806C4"/>
    <w:rsid w:val="00A80B12"/>
    <w:rsid w:val="00A80F68"/>
    <w:rsid w:val="00A811DA"/>
    <w:rsid w:val="00A81652"/>
    <w:rsid w:val="00A82727"/>
    <w:rsid w:val="00A842F9"/>
    <w:rsid w:val="00A843CF"/>
    <w:rsid w:val="00A84BBE"/>
    <w:rsid w:val="00A853F6"/>
    <w:rsid w:val="00A86B76"/>
    <w:rsid w:val="00A86CD3"/>
    <w:rsid w:val="00A8787E"/>
    <w:rsid w:val="00A87DAE"/>
    <w:rsid w:val="00A917F0"/>
    <w:rsid w:val="00A93766"/>
    <w:rsid w:val="00A93ABB"/>
    <w:rsid w:val="00A93F60"/>
    <w:rsid w:val="00A94306"/>
    <w:rsid w:val="00A94331"/>
    <w:rsid w:val="00A9458F"/>
    <w:rsid w:val="00A94695"/>
    <w:rsid w:val="00A94F42"/>
    <w:rsid w:val="00A950E2"/>
    <w:rsid w:val="00A9558B"/>
    <w:rsid w:val="00A95651"/>
    <w:rsid w:val="00A9777F"/>
    <w:rsid w:val="00AA27DA"/>
    <w:rsid w:val="00AA2DC3"/>
    <w:rsid w:val="00AA2F68"/>
    <w:rsid w:val="00AA32FA"/>
    <w:rsid w:val="00AA494D"/>
    <w:rsid w:val="00AA5F42"/>
    <w:rsid w:val="00AA6C51"/>
    <w:rsid w:val="00AA7095"/>
    <w:rsid w:val="00AA7369"/>
    <w:rsid w:val="00AA74D2"/>
    <w:rsid w:val="00AB1222"/>
    <w:rsid w:val="00AB1B60"/>
    <w:rsid w:val="00AB3DB6"/>
    <w:rsid w:val="00AB4555"/>
    <w:rsid w:val="00AB485B"/>
    <w:rsid w:val="00AB4FBC"/>
    <w:rsid w:val="00AB53BB"/>
    <w:rsid w:val="00AB73F0"/>
    <w:rsid w:val="00AB77D6"/>
    <w:rsid w:val="00AC2CDB"/>
    <w:rsid w:val="00AC37D7"/>
    <w:rsid w:val="00AC41EF"/>
    <w:rsid w:val="00AC4299"/>
    <w:rsid w:val="00AC4341"/>
    <w:rsid w:val="00AC65E0"/>
    <w:rsid w:val="00AC6910"/>
    <w:rsid w:val="00AC7EDD"/>
    <w:rsid w:val="00AD0991"/>
    <w:rsid w:val="00AD19E7"/>
    <w:rsid w:val="00AD29DC"/>
    <w:rsid w:val="00AD4AC9"/>
    <w:rsid w:val="00AD4BE0"/>
    <w:rsid w:val="00AD61A5"/>
    <w:rsid w:val="00AE0295"/>
    <w:rsid w:val="00AE04EE"/>
    <w:rsid w:val="00AE0B53"/>
    <w:rsid w:val="00AE0C7C"/>
    <w:rsid w:val="00AE1C6A"/>
    <w:rsid w:val="00AE207A"/>
    <w:rsid w:val="00AE2EE2"/>
    <w:rsid w:val="00AE3846"/>
    <w:rsid w:val="00AE3D88"/>
    <w:rsid w:val="00AE4432"/>
    <w:rsid w:val="00AE469B"/>
    <w:rsid w:val="00AE5727"/>
    <w:rsid w:val="00AE57E3"/>
    <w:rsid w:val="00AE5A04"/>
    <w:rsid w:val="00AE6E9B"/>
    <w:rsid w:val="00AE702E"/>
    <w:rsid w:val="00AE7264"/>
    <w:rsid w:val="00AE73EA"/>
    <w:rsid w:val="00AF0B1B"/>
    <w:rsid w:val="00AF1498"/>
    <w:rsid w:val="00AF30E8"/>
    <w:rsid w:val="00AF3885"/>
    <w:rsid w:val="00AF3D78"/>
    <w:rsid w:val="00AF431D"/>
    <w:rsid w:val="00AF4C6D"/>
    <w:rsid w:val="00AF5F3F"/>
    <w:rsid w:val="00AF60A5"/>
    <w:rsid w:val="00AF6233"/>
    <w:rsid w:val="00AF66C8"/>
    <w:rsid w:val="00AF68D0"/>
    <w:rsid w:val="00B0043F"/>
    <w:rsid w:val="00B01EDA"/>
    <w:rsid w:val="00B03FCF"/>
    <w:rsid w:val="00B040E3"/>
    <w:rsid w:val="00B04533"/>
    <w:rsid w:val="00B045BB"/>
    <w:rsid w:val="00B046F2"/>
    <w:rsid w:val="00B04988"/>
    <w:rsid w:val="00B05997"/>
    <w:rsid w:val="00B060D3"/>
    <w:rsid w:val="00B06D5B"/>
    <w:rsid w:val="00B07A75"/>
    <w:rsid w:val="00B07BC3"/>
    <w:rsid w:val="00B103EA"/>
    <w:rsid w:val="00B10519"/>
    <w:rsid w:val="00B10F1F"/>
    <w:rsid w:val="00B11594"/>
    <w:rsid w:val="00B119D2"/>
    <w:rsid w:val="00B11AB5"/>
    <w:rsid w:val="00B12635"/>
    <w:rsid w:val="00B12772"/>
    <w:rsid w:val="00B13708"/>
    <w:rsid w:val="00B13EB7"/>
    <w:rsid w:val="00B15FD8"/>
    <w:rsid w:val="00B17579"/>
    <w:rsid w:val="00B179D6"/>
    <w:rsid w:val="00B20939"/>
    <w:rsid w:val="00B20ABB"/>
    <w:rsid w:val="00B22CEB"/>
    <w:rsid w:val="00B232C0"/>
    <w:rsid w:val="00B23BAD"/>
    <w:rsid w:val="00B24B71"/>
    <w:rsid w:val="00B24E8B"/>
    <w:rsid w:val="00B2690C"/>
    <w:rsid w:val="00B27A22"/>
    <w:rsid w:val="00B27AD9"/>
    <w:rsid w:val="00B27C61"/>
    <w:rsid w:val="00B27F5F"/>
    <w:rsid w:val="00B31164"/>
    <w:rsid w:val="00B32F3E"/>
    <w:rsid w:val="00B337CF"/>
    <w:rsid w:val="00B341D0"/>
    <w:rsid w:val="00B344E0"/>
    <w:rsid w:val="00B34B05"/>
    <w:rsid w:val="00B34E68"/>
    <w:rsid w:val="00B34FA8"/>
    <w:rsid w:val="00B352B9"/>
    <w:rsid w:val="00B365BA"/>
    <w:rsid w:val="00B366C0"/>
    <w:rsid w:val="00B369C7"/>
    <w:rsid w:val="00B369D9"/>
    <w:rsid w:val="00B36DF8"/>
    <w:rsid w:val="00B374A3"/>
    <w:rsid w:val="00B37F3B"/>
    <w:rsid w:val="00B40188"/>
    <w:rsid w:val="00B401B9"/>
    <w:rsid w:val="00B40936"/>
    <w:rsid w:val="00B40D36"/>
    <w:rsid w:val="00B41C20"/>
    <w:rsid w:val="00B4213D"/>
    <w:rsid w:val="00B421B2"/>
    <w:rsid w:val="00B4235A"/>
    <w:rsid w:val="00B44133"/>
    <w:rsid w:val="00B512CA"/>
    <w:rsid w:val="00B51B4A"/>
    <w:rsid w:val="00B52538"/>
    <w:rsid w:val="00B52DDD"/>
    <w:rsid w:val="00B53A95"/>
    <w:rsid w:val="00B53EBF"/>
    <w:rsid w:val="00B54543"/>
    <w:rsid w:val="00B54999"/>
    <w:rsid w:val="00B550E5"/>
    <w:rsid w:val="00B55274"/>
    <w:rsid w:val="00B579A1"/>
    <w:rsid w:val="00B57F97"/>
    <w:rsid w:val="00B60A1E"/>
    <w:rsid w:val="00B60BE5"/>
    <w:rsid w:val="00B61897"/>
    <w:rsid w:val="00B62048"/>
    <w:rsid w:val="00B627B1"/>
    <w:rsid w:val="00B629F7"/>
    <w:rsid w:val="00B63B38"/>
    <w:rsid w:val="00B678DA"/>
    <w:rsid w:val="00B71154"/>
    <w:rsid w:val="00B71190"/>
    <w:rsid w:val="00B73267"/>
    <w:rsid w:val="00B73D27"/>
    <w:rsid w:val="00B74385"/>
    <w:rsid w:val="00B7455D"/>
    <w:rsid w:val="00B749C5"/>
    <w:rsid w:val="00B75A2B"/>
    <w:rsid w:val="00B763DB"/>
    <w:rsid w:val="00B76B0D"/>
    <w:rsid w:val="00B77AA2"/>
    <w:rsid w:val="00B80B0F"/>
    <w:rsid w:val="00B80FF5"/>
    <w:rsid w:val="00B81658"/>
    <w:rsid w:val="00B822BA"/>
    <w:rsid w:val="00B824C4"/>
    <w:rsid w:val="00B827E5"/>
    <w:rsid w:val="00B83BDA"/>
    <w:rsid w:val="00B83F1B"/>
    <w:rsid w:val="00B84EBA"/>
    <w:rsid w:val="00B859FA"/>
    <w:rsid w:val="00B85CC8"/>
    <w:rsid w:val="00B869E1"/>
    <w:rsid w:val="00B8744C"/>
    <w:rsid w:val="00B90607"/>
    <w:rsid w:val="00B915BF"/>
    <w:rsid w:val="00B9171B"/>
    <w:rsid w:val="00B91BD6"/>
    <w:rsid w:val="00B9326C"/>
    <w:rsid w:val="00B935ED"/>
    <w:rsid w:val="00B93EA4"/>
    <w:rsid w:val="00B9475E"/>
    <w:rsid w:val="00B94F8F"/>
    <w:rsid w:val="00B9558F"/>
    <w:rsid w:val="00B978D5"/>
    <w:rsid w:val="00BA09FA"/>
    <w:rsid w:val="00BA0EC8"/>
    <w:rsid w:val="00BA137F"/>
    <w:rsid w:val="00BA24AD"/>
    <w:rsid w:val="00BA2A15"/>
    <w:rsid w:val="00BA4742"/>
    <w:rsid w:val="00BA4DE4"/>
    <w:rsid w:val="00BA5C78"/>
    <w:rsid w:val="00BA5E8F"/>
    <w:rsid w:val="00BB1409"/>
    <w:rsid w:val="00BB1ECD"/>
    <w:rsid w:val="00BB243F"/>
    <w:rsid w:val="00BB3A05"/>
    <w:rsid w:val="00BB4693"/>
    <w:rsid w:val="00BB58F4"/>
    <w:rsid w:val="00BB5D62"/>
    <w:rsid w:val="00BB6478"/>
    <w:rsid w:val="00BC1189"/>
    <w:rsid w:val="00BC1992"/>
    <w:rsid w:val="00BC2954"/>
    <w:rsid w:val="00BC406E"/>
    <w:rsid w:val="00BC4A9B"/>
    <w:rsid w:val="00BC5876"/>
    <w:rsid w:val="00BD00D2"/>
    <w:rsid w:val="00BD1788"/>
    <w:rsid w:val="00BD1A8E"/>
    <w:rsid w:val="00BD3BBB"/>
    <w:rsid w:val="00BD48DE"/>
    <w:rsid w:val="00BD4901"/>
    <w:rsid w:val="00BD557D"/>
    <w:rsid w:val="00BD570F"/>
    <w:rsid w:val="00BD5CCD"/>
    <w:rsid w:val="00BD6904"/>
    <w:rsid w:val="00BD6C7B"/>
    <w:rsid w:val="00BD6F35"/>
    <w:rsid w:val="00BD6FC2"/>
    <w:rsid w:val="00BD776C"/>
    <w:rsid w:val="00BD7BEF"/>
    <w:rsid w:val="00BD7E2E"/>
    <w:rsid w:val="00BE00AC"/>
    <w:rsid w:val="00BE076C"/>
    <w:rsid w:val="00BE0CBA"/>
    <w:rsid w:val="00BE0D6D"/>
    <w:rsid w:val="00BE148E"/>
    <w:rsid w:val="00BE1C3C"/>
    <w:rsid w:val="00BE2B5B"/>
    <w:rsid w:val="00BE3147"/>
    <w:rsid w:val="00BE3345"/>
    <w:rsid w:val="00BE474B"/>
    <w:rsid w:val="00BE506E"/>
    <w:rsid w:val="00BE51F5"/>
    <w:rsid w:val="00BE6686"/>
    <w:rsid w:val="00BF042A"/>
    <w:rsid w:val="00BF09D7"/>
    <w:rsid w:val="00BF0A43"/>
    <w:rsid w:val="00BF116E"/>
    <w:rsid w:val="00BF137F"/>
    <w:rsid w:val="00BF1792"/>
    <w:rsid w:val="00BF32E5"/>
    <w:rsid w:val="00BF4178"/>
    <w:rsid w:val="00BF4701"/>
    <w:rsid w:val="00BF53B9"/>
    <w:rsid w:val="00BF5F0F"/>
    <w:rsid w:val="00C008C9"/>
    <w:rsid w:val="00C01395"/>
    <w:rsid w:val="00C0338E"/>
    <w:rsid w:val="00C03842"/>
    <w:rsid w:val="00C03A72"/>
    <w:rsid w:val="00C0485D"/>
    <w:rsid w:val="00C0529D"/>
    <w:rsid w:val="00C056DB"/>
    <w:rsid w:val="00C05A6E"/>
    <w:rsid w:val="00C06CD9"/>
    <w:rsid w:val="00C06EF1"/>
    <w:rsid w:val="00C07162"/>
    <w:rsid w:val="00C0740D"/>
    <w:rsid w:val="00C075CD"/>
    <w:rsid w:val="00C07744"/>
    <w:rsid w:val="00C07BB8"/>
    <w:rsid w:val="00C10B40"/>
    <w:rsid w:val="00C10C5D"/>
    <w:rsid w:val="00C11D67"/>
    <w:rsid w:val="00C14756"/>
    <w:rsid w:val="00C1725D"/>
    <w:rsid w:val="00C1742F"/>
    <w:rsid w:val="00C17453"/>
    <w:rsid w:val="00C2005A"/>
    <w:rsid w:val="00C207B3"/>
    <w:rsid w:val="00C20A0F"/>
    <w:rsid w:val="00C20F91"/>
    <w:rsid w:val="00C22568"/>
    <w:rsid w:val="00C226DA"/>
    <w:rsid w:val="00C231BA"/>
    <w:rsid w:val="00C23F78"/>
    <w:rsid w:val="00C24403"/>
    <w:rsid w:val="00C255A4"/>
    <w:rsid w:val="00C25B23"/>
    <w:rsid w:val="00C27ABD"/>
    <w:rsid w:val="00C30E74"/>
    <w:rsid w:val="00C32664"/>
    <w:rsid w:val="00C32702"/>
    <w:rsid w:val="00C32746"/>
    <w:rsid w:val="00C33034"/>
    <w:rsid w:val="00C3448C"/>
    <w:rsid w:val="00C34E57"/>
    <w:rsid w:val="00C3566E"/>
    <w:rsid w:val="00C35819"/>
    <w:rsid w:val="00C37331"/>
    <w:rsid w:val="00C37E66"/>
    <w:rsid w:val="00C40742"/>
    <w:rsid w:val="00C408C4"/>
    <w:rsid w:val="00C40B8D"/>
    <w:rsid w:val="00C41306"/>
    <w:rsid w:val="00C41E9D"/>
    <w:rsid w:val="00C41FA2"/>
    <w:rsid w:val="00C422E4"/>
    <w:rsid w:val="00C422E6"/>
    <w:rsid w:val="00C42B44"/>
    <w:rsid w:val="00C430C0"/>
    <w:rsid w:val="00C432BB"/>
    <w:rsid w:val="00C45854"/>
    <w:rsid w:val="00C46D9D"/>
    <w:rsid w:val="00C52D0A"/>
    <w:rsid w:val="00C533FD"/>
    <w:rsid w:val="00C53C01"/>
    <w:rsid w:val="00C53C57"/>
    <w:rsid w:val="00C53E38"/>
    <w:rsid w:val="00C54142"/>
    <w:rsid w:val="00C548AC"/>
    <w:rsid w:val="00C54A15"/>
    <w:rsid w:val="00C54E9F"/>
    <w:rsid w:val="00C55949"/>
    <w:rsid w:val="00C570D4"/>
    <w:rsid w:val="00C572DD"/>
    <w:rsid w:val="00C5744B"/>
    <w:rsid w:val="00C60C62"/>
    <w:rsid w:val="00C61B50"/>
    <w:rsid w:val="00C61D10"/>
    <w:rsid w:val="00C62104"/>
    <w:rsid w:val="00C6256E"/>
    <w:rsid w:val="00C63374"/>
    <w:rsid w:val="00C643D0"/>
    <w:rsid w:val="00C67D36"/>
    <w:rsid w:val="00C7119F"/>
    <w:rsid w:val="00C7122D"/>
    <w:rsid w:val="00C74038"/>
    <w:rsid w:val="00C751CC"/>
    <w:rsid w:val="00C758C8"/>
    <w:rsid w:val="00C766FA"/>
    <w:rsid w:val="00C76BFF"/>
    <w:rsid w:val="00C7713B"/>
    <w:rsid w:val="00C7737E"/>
    <w:rsid w:val="00C8066F"/>
    <w:rsid w:val="00C80A29"/>
    <w:rsid w:val="00C80DC2"/>
    <w:rsid w:val="00C80E16"/>
    <w:rsid w:val="00C81A1F"/>
    <w:rsid w:val="00C82DE6"/>
    <w:rsid w:val="00C82F35"/>
    <w:rsid w:val="00C84B9B"/>
    <w:rsid w:val="00C84CCA"/>
    <w:rsid w:val="00C8611A"/>
    <w:rsid w:val="00C8695A"/>
    <w:rsid w:val="00C873F1"/>
    <w:rsid w:val="00C875F9"/>
    <w:rsid w:val="00C91719"/>
    <w:rsid w:val="00C91FDC"/>
    <w:rsid w:val="00C9206F"/>
    <w:rsid w:val="00C92BFD"/>
    <w:rsid w:val="00C9430A"/>
    <w:rsid w:val="00C947CE"/>
    <w:rsid w:val="00C95A78"/>
    <w:rsid w:val="00C96C0A"/>
    <w:rsid w:val="00C96F72"/>
    <w:rsid w:val="00C975F3"/>
    <w:rsid w:val="00CA0892"/>
    <w:rsid w:val="00CA5977"/>
    <w:rsid w:val="00CA694B"/>
    <w:rsid w:val="00CA69EE"/>
    <w:rsid w:val="00CA7EBF"/>
    <w:rsid w:val="00CA7F65"/>
    <w:rsid w:val="00CB1EFA"/>
    <w:rsid w:val="00CB5158"/>
    <w:rsid w:val="00CB6CA4"/>
    <w:rsid w:val="00CB6DF1"/>
    <w:rsid w:val="00CC0170"/>
    <w:rsid w:val="00CC068C"/>
    <w:rsid w:val="00CC0D26"/>
    <w:rsid w:val="00CC1F05"/>
    <w:rsid w:val="00CC2330"/>
    <w:rsid w:val="00CC2AB7"/>
    <w:rsid w:val="00CC2E96"/>
    <w:rsid w:val="00CC4658"/>
    <w:rsid w:val="00CC5611"/>
    <w:rsid w:val="00CC56E6"/>
    <w:rsid w:val="00CC5F9E"/>
    <w:rsid w:val="00CC6EC8"/>
    <w:rsid w:val="00CC7A78"/>
    <w:rsid w:val="00CC7C50"/>
    <w:rsid w:val="00CD07FF"/>
    <w:rsid w:val="00CD0C38"/>
    <w:rsid w:val="00CD1CA4"/>
    <w:rsid w:val="00CD1E07"/>
    <w:rsid w:val="00CD3537"/>
    <w:rsid w:val="00CD36FB"/>
    <w:rsid w:val="00CD3BD4"/>
    <w:rsid w:val="00CD6A93"/>
    <w:rsid w:val="00CD7D50"/>
    <w:rsid w:val="00CE00B5"/>
    <w:rsid w:val="00CE14E9"/>
    <w:rsid w:val="00CE2861"/>
    <w:rsid w:val="00CE29C6"/>
    <w:rsid w:val="00CE2DB3"/>
    <w:rsid w:val="00CE355A"/>
    <w:rsid w:val="00CE42F8"/>
    <w:rsid w:val="00CE4929"/>
    <w:rsid w:val="00CE6793"/>
    <w:rsid w:val="00CE76A1"/>
    <w:rsid w:val="00CF1070"/>
    <w:rsid w:val="00CF117A"/>
    <w:rsid w:val="00CF1188"/>
    <w:rsid w:val="00CF1A54"/>
    <w:rsid w:val="00CF234F"/>
    <w:rsid w:val="00CF2756"/>
    <w:rsid w:val="00CF3318"/>
    <w:rsid w:val="00CF366E"/>
    <w:rsid w:val="00CF3E71"/>
    <w:rsid w:val="00CF3EFF"/>
    <w:rsid w:val="00CF494C"/>
    <w:rsid w:val="00CF5668"/>
    <w:rsid w:val="00CF5F9E"/>
    <w:rsid w:val="00CF6440"/>
    <w:rsid w:val="00CF7272"/>
    <w:rsid w:val="00CF7E6E"/>
    <w:rsid w:val="00D02411"/>
    <w:rsid w:val="00D02E28"/>
    <w:rsid w:val="00D02FAA"/>
    <w:rsid w:val="00D04348"/>
    <w:rsid w:val="00D0486B"/>
    <w:rsid w:val="00D05A95"/>
    <w:rsid w:val="00D05DA9"/>
    <w:rsid w:val="00D05E2B"/>
    <w:rsid w:val="00D066D7"/>
    <w:rsid w:val="00D1097E"/>
    <w:rsid w:val="00D11563"/>
    <w:rsid w:val="00D119DD"/>
    <w:rsid w:val="00D11D9C"/>
    <w:rsid w:val="00D122FA"/>
    <w:rsid w:val="00D12EE2"/>
    <w:rsid w:val="00D13E1E"/>
    <w:rsid w:val="00D157C3"/>
    <w:rsid w:val="00D16725"/>
    <w:rsid w:val="00D1736D"/>
    <w:rsid w:val="00D21D42"/>
    <w:rsid w:val="00D22145"/>
    <w:rsid w:val="00D2263D"/>
    <w:rsid w:val="00D226A4"/>
    <w:rsid w:val="00D22719"/>
    <w:rsid w:val="00D23D11"/>
    <w:rsid w:val="00D2436C"/>
    <w:rsid w:val="00D25C38"/>
    <w:rsid w:val="00D25C4E"/>
    <w:rsid w:val="00D2674A"/>
    <w:rsid w:val="00D26E2C"/>
    <w:rsid w:val="00D27A89"/>
    <w:rsid w:val="00D30957"/>
    <w:rsid w:val="00D31DD8"/>
    <w:rsid w:val="00D32023"/>
    <w:rsid w:val="00D32A7C"/>
    <w:rsid w:val="00D33C9D"/>
    <w:rsid w:val="00D3451C"/>
    <w:rsid w:val="00D34B90"/>
    <w:rsid w:val="00D35ADE"/>
    <w:rsid w:val="00D35EE6"/>
    <w:rsid w:val="00D41702"/>
    <w:rsid w:val="00D422B6"/>
    <w:rsid w:val="00D42334"/>
    <w:rsid w:val="00D42701"/>
    <w:rsid w:val="00D4308D"/>
    <w:rsid w:val="00D4315D"/>
    <w:rsid w:val="00D44854"/>
    <w:rsid w:val="00D455C4"/>
    <w:rsid w:val="00D45AFE"/>
    <w:rsid w:val="00D45FD2"/>
    <w:rsid w:val="00D47619"/>
    <w:rsid w:val="00D512BD"/>
    <w:rsid w:val="00D517AE"/>
    <w:rsid w:val="00D51AE0"/>
    <w:rsid w:val="00D528EF"/>
    <w:rsid w:val="00D529B2"/>
    <w:rsid w:val="00D52A1E"/>
    <w:rsid w:val="00D53858"/>
    <w:rsid w:val="00D53A39"/>
    <w:rsid w:val="00D53F31"/>
    <w:rsid w:val="00D55929"/>
    <w:rsid w:val="00D55CEC"/>
    <w:rsid w:val="00D61155"/>
    <w:rsid w:val="00D61BFB"/>
    <w:rsid w:val="00D63812"/>
    <w:rsid w:val="00D6656C"/>
    <w:rsid w:val="00D6665E"/>
    <w:rsid w:val="00D66CD0"/>
    <w:rsid w:val="00D677AF"/>
    <w:rsid w:val="00D67C66"/>
    <w:rsid w:val="00D71049"/>
    <w:rsid w:val="00D713A6"/>
    <w:rsid w:val="00D71A9B"/>
    <w:rsid w:val="00D729F2"/>
    <w:rsid w:val="00D74E6B"/>
    <w:rsid w:val="00D763DA"/>
    <w:rsid w:val="00D77D3F"/>
    <w:rsid w:val="00D80E5E"/>
    <w:rsid w:val="00D819D9"/>
    <w:rsid w:val="00D822F2"/>
    <w:rsid w:val="00D82479"/>
    <w:rsid w:val="00D83880"/>
    <w:rsid w:val="00D848F3"/>
    <w:rsid w:val="00D853E9"/>
    <w:rsid w:val="00D86387"/>
    <w:rsid w:val="00D878E0"/>
    <w:rsid w:val="00D903AE"/>
    <w:rsid w:val="00D90B69"/>
    <w:rsid w:val="00D91DAB"/>
    <w:rsid w:val="00D922B6"/>
    <w:rsid w:val="00D922F1"/>
    <w:rsid w:val="00D9298B"/>
    <w:rsid w:val="00D9371E"/>
    <w:rsid w:val="00D93C4F"/>
    <w:rsid w:val="00D94227"/>
    <w:rsid w:val="00D944EC"/>
    <w:rsid w:val="00D94DB7"/>
    <w:rsid w:val="00D958FC"/>
    <w:rsid w:val="00D95F2E"/>
    <w:rsid w:val="00D95F6B"/>
    <w:rsid w:val="00D960D6"/>
    <w:rsid w:val="00D97F79"/>
    <w:rsid w:val="00DA0870"/>
    <w:rsid w:val="00DA1CE7"/>
    <w:rsid w:val="00DA3F8B"/>
    <w:rsid w:val="00DA4F67"/>
    <w:rsid w:val="00DA7B59"/>
    <w:rsid w:val="00DB01C6"/>
    <w:rsid w:val="00DB1A2E"/>
    <w:rsid w:val="00DB4368"/>
    <w:rsid w:val="00DB5912"/>
    <w:rsid w:val="00DB5A79"/>
    <w:rsid w:val="00DB5BB9"/>
    <w:rsid w:val="00DB6411"/>
    <w:rsid w:val="00DB65B0"/>
    <w:rsid w:val="00DB66E1"/>
    <w:rsid w:val="00DC0985"/>
    <w:rsid w:val="00DC2222"/>
    <w:rsid w:val="00DC2927"/>
    <w:rsid w:val="00DC2D8D"/>
    <w:rsid w:val="00DC3400"/>
    <w:rsid w:val="00DC39C9"/>
    <w:rsid w:val="00DC4D22"/>
    <w:rsid w:val="00DC713E"/>
    <w:rsid w:val="00DC734A"/>
    <w:rsid w:val="00DC7F59"/>
    <w:rsid w:val="00DD06C0"/>
    <w:rsid w:val="00DD1BBF"/>
    <w:rsid w:val="00DD1ECB"/>
    <w:rsid w:val="00DD2C35"/>
    <w:rsid w:val="00DD2FE3"/>
    <w:rsid w:val="00DD68E9"/>
    <w:rsid w:val="00DD7605"/>
    <w:rsid w:val="00DD77C8"/>
    <w:rsid w:val="00DE1775"/>
    <w:rsid w:val="00DE2411"/>
    <w:rsid w:val="00DE5763"/>
    <w:rsid w:val="00DE5DE7"/>
    <w:rsid w:val="00DE606E"/>
    <w:rsid w:val="00DE61A2"/>
    <w:rsid w:val="00DE61E0"/>
    <w:rsid w:val="00DE6FCC"/>
    <w:rsid w:val="00DF06F8"/>
    <w:rsid w:val="00DF1187"/>
    <w:rsid w:val="00DF15EB"/>
    <w:rsid w:val="00DF20A4"/>
    <w:rsid w:val="00DF3819"/>
    <w:rsid w:val="00DF3F48"/>
    <w:rsid w:val="00DF423F"/>
    <w:rsid w:val="00DF7D30"/>
    <w:rsid w:val="00DF7EFC"/>
    <w:rsid w:val="00E00B94"/>
    <w:rsid w:val="00E00C19"/>
    <w:rsid w:val="00E01D81"/>
    <w:rsid w:val="00E01E44"/>
    <w:rsid w:val="00E02586"/>
    <w:rsid w:val="00E0507B"/>
    <w:rsid w:val="00E05126"/>
    <w:rsid w:val="00E05CC2"/>
    <w:rsid w:val="00E11C86"/>
    <w:rsid w:val="00E12845"/>
    <w:rsid w:val="00E128A1"/>
    <w:rsid w:val="00E13CB2"/>
    <w:rsid w:val="00E15363"/>
    <w:rsid w:val="00E15A60"/>
    <w:rsid w:val="00E16100"/>
    <w:rsid w:val="00E1705F"/>
    <w:rsid w:val="00E1747C"/>
    <w:rsid w:val="00E210AA"/>
    <w:rsid w:val="00E21B67"/>
    <w:rsid w:val="00E2258B"/>
    <w:rsid w:val="00E22E4A"/>
    <w:rsid w:val="00E233AF"/>
    <w:rsid w:val="00E23C8D"/>
    <w:rsid w:val="00E23E5D"/>
    <w:rsid w:val="00E25697"/>
    <w:rsid w:val="00E265A3"/>
    <w:rsid w:val="00E2760D"/>
    <w:rsid w:val="00E30DEA"/>
    <w:rsid w:val="00E30F3F"/>
    <w:rsid w:val="00E31194"/>
    <w:rsid w:val="00E31A2A"/>
    <w:rsid w:val="00E31DBF"/>
    <w:rsid w:val="00E34836"/>
    <w:rsid w:val="00E3665A"/>
    <w:rsid w:val="00E36F3F"/>
    <w:rsid w:val="00E40CE1"/>
    <w:rsid w:val="00E4147A"/>
    <w:rsid w:val="00E41CD8"/>
    <w:rsid w:val="00E43164"/>
    <w:rsid w:val="00E435E1"/>
    <w:rsid w:val="00E43D3E"/>
    <w:rsid w:val="00E44998"/>
    <w:rsid w:val="00E47402"/>
    <w:rsid w:val="00E47DA0"/>
    <w:rsid w:val="00E50659"/>
    <w:rsid w:val="00E507BE"/>
    <w:rsid w:val="00E507D2"/>
    <w:rsid w:val="00E50A44"/>
    <w:rsid w:val="00E51286"/>
    <w:rsid w:val="00E51C2A"/>
    <w:rsid w:val="00E51EEC"/>
    <w:rsid w:val="00E57E3E"/>
    <w:rsid w:val="00E6054B"/>
    <w:rsid w:val="00E60A2F"/>
    <w:rsid w:val="00E63D3C"/>
    <w:rsid w:val="00E648E5"/>
    <w:rsid w:val="00E65BB1"/>
    <w:rsid w:val="00E67148"/>
    <w:rsid w:val="00E67A9E"/>
    <w:rsid w:val="00E70354"/>
    <w:rsid w:val="00E716F8"/>
    <w:rsid w:val="00E71ABF"/>
    <w:rsid w:val="00E71BA8"/>
    <w:rsid w:val="00E71E24"/>
    <w:rsid w:val="00E722BE"/>
    <w:rsid w:val="00E72734"/>
    <w:rsid w:val="00E73B70"/>
    <w:rsid w:val="00E757F7"/>
    <w:rsid w:val="00E77AA8"/>
    <w:rsid w:val="00E8023A"/>
    <w:rsid w:val="00E810E5"/>
    <w:rsid w:val="00E8227B"/>
    <w:rsid w:val="00E83073"/>
    <w:rsid w:val="00E8315B"/>
    <w:rsid w:val="00E85584"/>
    <w:rsid w:val="00E87752"/>
    <w:rsid w:val="00E908DD"/>
    <w:rsid w:val="00E91602"/>
    <w:rsid w:val="00E92542"/>
    <w:rsid w:val="00E929AE"/>
    <w:rsid w:val="00E931ED"/>
    <w:rsid w:val="00E938B0"/>
    <w:rsid w:val="00E94A87"/>
    <w:rsid w:val="00E94CEA"/>
    <w:rsid w:val="00E95013"/>
    <w:rsid w:val="00E96339"/>
    <w:rsid w:val="00E964FE"/>
    <w:rsid w:val="00E9742A"/>
    <w:rsid w:val="00EA026F"/>
    <w:rsid w:val="00EA04F3"/>
    <w:rsid w:val="00EA0B48"/>
    <w:rsid w:val="00EA16BF"/>
    <w:rsid w:val="00EA1A02"/>
    <w:rsid w:val="00EA1A1C"/>
    <w:rsid w:val="00EA3027"/>
    <w:rsid w:val="00EA47DA"/>
    <w:rsid w:val="00EA47FA"/>
    <w:rsid w:val="00EA5BBE"/>
    <w:rsid w:val="00EA5CB1"/>
    <w:rsid w:val="00EA6521"/>
    <w:rsid w:val="00EA7FF3"/>
    <w:rsid w:val="00EB20DC"/>
    <w:rsid w:val="00EB3CB3"/>
    <w:rsid w:val="00EB4333"/>
    <w:rsid w:val="00EB4B44"/>
    <w:rsid w:val="00EB50AD"/>
    <w:rsid w:val="00EB6604"/>
    <w:rsid w:val="00EB6BBE"/>
    <w:rsid w:val="00EC03F1"/>
    <w:rsid w:val="00EC1B29"/>
    <w:rsid w:val="00EC202F"/>
    <w:rsid w:val="00EC2AB0"/>
    <w:rsid w:val="00EC38C0"/>
    <w:rsid w:val="00EC3910"/>
    <w:rsid w:val="00EC3DA0"/>
    <w:rsid w:val="00EC4AAE"/>
    <w:rsid w:val="00EC53C6"/>
    <w:rsid w:val="00EC6501"/>
    <w:rsid w:val="00EC7D2A"/>
    <w:rsid w:val="00ED0239"/>
    <w:rsid w:val="00ED3C18"/>
    <w:rsid w:val="00ED44D1"/>
    <w:rsid w:val="00ED4D58"/>
    <w:rsid w:val="00ED5A38"/>
    <w:rsid w:val="00ED5F69"/>
    <w:rsid w:val="00ED628F"/>
    <w:rsid w:val="00ED70AF"/>
    <w:rsid w:val="00EE1032"/>
    <w:rsid w:val="00EE1491"/>
    <w:rsid w:val="00EE33A1"/>
    <w:rsid w:val="00EE4FB3"/>
    <w:rsid w:val="00EE5B45"/>
    <w:rsid w:val="00EE7546"/>
    <w:rsid w:val="00EE78B2"/>
    <w:rsid w:val="00EF0456"/>
    <w:rsid w:val="00EF07EA"/>
    <w:rsid w:val="00EF2967"/>
    <w:rsid w:val="00EF2F5B"/>
    <w:rsid w:val="00EF3062"/>
    <w:rsid w:val="00EF3DC1"/>
    <w:rsid w:val="00EF3DE3"/>
    <w:rsid w:val="00EF49A3"/>
    <w:rsid w:val="00EF5D18"/>
    <w:rsid w:val="00EF6021"/>
    <w:rsid w:val="00F00215"/>
    <w:rsid w:val="00F0181B"/>
    <w:rsid w:val="00F01829"/>
    <w:rsid w:val="00F01E46"/>
    <w:rsid w:val="00F02598"/>
    <w:rsid w:val="00F0275C"/>
    <w:rsid w:val="00F03335"/>
    <w:rsid w:val="00F03EC2"/>
    <w:rsid w:val="00F0478B"/>
    <w:rsid w:val="00F04BB2"/>
    <w:rsid w:val="00F05082"/>
    <w:rsid w:val="00F067A9"/>
    <w:rsid w:val="00F06D4B"/>
    <w:rsid w:val="00F06E58"/>
    <w:rsid w:val="00F079DB"/>
    <w:rsid w:val="00F11271"/>
    <w:rsid w:val="00F1215C"/>
    <w:rsid w:val="00F125A3"/>
    <w:rsid w:val="00F13B92"/>
    <w:rsid w:val="00F14D33"/>
    <w:rsid w:val="00F15153"/>
    <w:rsid w:val="00F16672"/>
    <w:rsid w:val="00F1734B"/>
    <w:rsid w:val="00F178A3"/>
    <w:rsid w:val="00F20100"/>
    <w:rsid w:val="00F208CB"/>
    <w:rsid w:val="00F2227E"/>
    <w:rsid w:val="00F2297C"/>
    <w:rsid w:val="00F22C28"/>
    <w:rsid w:val="00F23B59"/>
    <w:rsid w:val="00F23C2D"/>
    <w:rsid w:val="00F248F9"/>
    <w:rsid w:val="00F24FF1"/>
    <w:rsid w:val="00F2539C"/>
    <w:rsid w:val="00F2545B"/>
    <w:rsid w:val="00F3081F"/>
    <w:rsid w:val="00F31A28"/>
    <w:rsid w:val="00F33BC7"/>
    <w:rsid w:val="00F34F1A"/>
    <w:rsid w:val="00F35130"/>
    <w:rsid w:val="00F35945"/>
    <w:rsid w:val="00F35E93"/>
    <w:rsid w:val="00F3645C"/>
    <w:rsid w:val="00F36F50"/>
    <w:rsid w:val="00F371EA"/>
    <w:rsid w:val="00F3763D"/>
    <w:rsid w:val="00F37827"/>
    <w:rsid w:val="00F40261"/>
    <w:rsid w:val="00F40B26"/>
    <w:rsid w:val="00F40BE2"/>
    <w:rsid w:val="00F41F26"/>
    <w:rsid w:val="00F434DE"/>
    <w:rsid w:val="00F4359D"/>
    <w:rsid w:val="00F43E13"/>
    <w:rsid w:val="00F44E00"/>
    <w:rsid w:val="00F45520"/>
    <w:rsid w:val="00F45855"/>
    <w:rsid w:val="00F45CCF"/>
    <w:rsid w:val="00F47E39"/>
    <w:rsid w:val="00F51C75"/>
    <w:rsid w:val="00F526BC"/>
    <w:rsid w:val="00F52F1E"/>
    <w:rsid w:val="00F52FB2"/>
    <w:rsid w:val="00F54521"/>
    <w:rsid w:val="00F54C90"/>
    <w:rsid w:val="00F56D42"/>
    <w:rsid w:val="00F56EA4"/>
    <w:rsid w:val="00F56EDC"/>
    <w:rsid w:val="00F57304"/>
    <w:rsid w:val="00F57965"/>
    <w:rsid w:val="00F57AF9"/>
    <w:rsid w:val="00F60FE8"/>
    <w:rsid w:val="00F6266A"/>
    <w:rsid w:val="00F62813"/>
    <w:rsid w:val="00F62C92"/>
    <w:rsid w:val="00F62D98"/>
    <w:rsid w:val="00F638B6"/>
    <w:rsid w:val="00F6469E"/>
    <w:rsid w:val="00F64A3E"/>
    <w:rsid w:val="00F650FF"/>
    <w:rsid w:val="00F65F60"/>
    <w:rsid w:val="00F66BD9"/>
    <w:rsid w:val="00F67D33"/>
    <w:rsid w:val="00F67FFB"/>
    <w:rsid w:val="00F70153"/>
    <w:rsid w:val="00F70F12"/>
    <w:rsid w:val="00F71382"/>
    <w:rsid w:val="00F716A5"/>
    <w:rsid w:val="00F7222D"/>
    <w:rsid w:val="00F72CF2"/>
    <w:rsid w:val="00F72FCA"/>
    <w:rsid w:val="00F73941"/>
    <w:rsid w:val="00F74BFA"/>
    <w:rsid w:val="00F75395"/>
    <w:rsid w:val="00F759C8"/>
    <w:rsid w:val="00F75DF9"/>
    <w:rsid w:val="00F77038"/>
    <w:rsid w:val="00F779D4"/>
    <w:rsid w:val="00F806C4"/>
    <w:rsid w:val="00F807EC"/>
    <w:rsid w:val="00F81979"/>
    <w:rsid w:val="00F83114"/>
    <w:rsid w:val="00F8362F"/>
    <w:rsid w:val="00F83F06"/>
    <w:rsid w:val="00F84630"/>
    <w:rsid w:val="00F8675B"/>
    <w:rsid w:val="00F8787C"/>
    <w:rsid w:val="00F904EA"/>
    <w:rsid w:val="00F90B52"/>
    <w:rsid w:val="00F91D9B"/>
    <w:rsid w:val="00F94903"/>
    <w:rsid w:val="00F94BB0"/>
    <w:rsid w:val="00F95227"/>
    <w:rsid w:val="00FA0E42"/>
    <w:rsid w:val="00FA21AC"/>
    <w:rsid w:val="00FA2830"/>
    <w:rsid w:val="00FA2E98"/>
    <w:rsid w:val="00FA31DE"/>
    <w:rsid w:val="00FA3D8E"/>
    <w:rsid w:val="00FA4E5B"/>
    <w:rsid w:val="00FA558F"/>
    <w:rsid w:val="00FA64C7"/>
    <w:rsid w:val="00FB02AB"/>
    <w:rsid w:val="00FB0BB9"/>
    <w:rsid w:val="00FB0DD8"/>
    <w:rsid w:val="00FB0FEB"/>
    <w:rsid w:val="00FB1B49"/>
    <w:rsid w:val="00FB21CF"/>
    <w:rsid w:val="00FB2E56"/>
    <w:rsid w:val="00FB2E9E"/>
    <w:rsid w:val="00FB3905"/>
    <w:rsid w:val="00FB3EB8"/>
    <w:rsid w:val="00FB49B7"/>
    <w:rsid w:val="00FB49DF"/>
    <w:rsid w:val="00FB4E02"/>
    <w:rsid w:val="00FB62AC"/>
    <w:rsid w:val="00FC054A"/>
    <w:rsid w:val="00FC1BCC"/>
    <w:rsid w:val="00FC2208"/>
    <w:rsid w:val="00FC40DC"/>
    <w:rsid w:val="00FC443D"/>
    <w:rsid w:val="00FC4FD8"/>
    <w:rsid w:val="00FC5923"/>
    <w:rsid w:val="00FC7D35"/>
    <w:rsid w:val="00FD066F"/>
    <w:rsid w:val="00FD0BDD"/>
    <w:rsid w:val="00FD271E"/>
    <w:rsid w:val="00FD3B95"/>
    <w:rsid w:val="00FD462E"/>
    <w:rsid w:val="00FD4A0F"/>
    <w:rsid w:val="00FD4B24"/>
    <w:rsid w:val="00FD5049"/>
    <w:rsid w:val="00FD5F3B"/>
    <w:rsid w:val="00FD6034"/>
    <w:rsid w:val="00FD60EA"/>
    <w:rsid w:val="00FD6AE8"/>
    <w:rsid w:val="00FD6F8B"/>
    <w:rsid w:val="00FD7DF3"/>
    <w:rsid w:val="00FE0389"/>
    <w:rsid w:val="00FE0C3C"/>
    <w:rsid w:val="00FE1438"/>
    <w:rsid w:val="00FE1DE4"/>
    <w:rsid w:val="00FE236D"/>
    <w:rsid w:val="00FE4964"/>
    <w:rsid w:val="00FE4E11"/>
    <w:rsid w:val="00FE4E99"/>
    <w:rsid w:val="00FE5F6B"/>
    <w:rsid w:val="00FE6777"/>
    <w:rsid w:val="00FE6800"/>
    <w:rsid w:val="00FE7EAD"/>
    <w:rsid w:val="00FF0282"/>
    <w:rsid w:val="00FF0DFE"/>
    <w:rsid w:val="00FF1BE1"/>
    <w:rsid w:val="00FF2A0E"/>
    <w:rsid w:val="00FF2C9E"/>
    <w:rsid w:val="00FF3CEF"/>
    <w:rsid w:val="00FF43C3"/>
    <w:rsid w:val="00FF62D2"/>
    <w:rsid w:val="00FF6948"/>
    <w:rsid w:val="00FF7164"/>
    <w:rsid w:val="00FF76EA"/>
    <w:rsid w:val="03CBD35B"/>
    <w:rsid w:val="0B8D31B3"/>
    <w:rsid w:val="11BD9292"/>
    <w:rsid w:val="355D80B5"/>
    <w:rsid w:val="4D35E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224122"/>
  <w15:docId w15:val="{1BCBADDD-7028-4112-BF01-4B46F684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727"/>
    <w:pPr>
      <w:spacing w:after="120"/>
      <w:jc w:val="both"/>
    </w:pPr>
    <w:rPr>
      <w:rFonts w:asciiTheme="minorHAnsi" w:hAnsiTheme="minorHAnsi"/>
    </w:rPr>
  </w:style>
  <w:style w:type="paragraph" w:styleId="Heading1">
    <w:name w:val="heading 1"/>
    <w:basedOn w:val="Normal"/>
    <w:next w:val="Normal"/>
    <w:link w:val="Heading1Char"/>
    <w:qFormat/>
    <w:rsid w:val="00645230"/>
    <w:pPr>
      <w:keepNext/>
      <w:keepLines/>
      <w:spacing w:before="240" w:after="240"/>
      <w:outlineLvl w:val="0"/>
    </w:pPr>
    <w:rPr>
      <w:rFonts w:asciiTheme="majorHAnsi" w:eastAsiaTheme="majorEastAsia" w:hAnsiTheme="majorHAnsi" w:cstheme="majorBidi"/>
      <w:color w:val="10437F"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TNormal">
    <w:name w:val="CRT_Normal"/>
    <w:link w:val="CRTNormalChar"/>
    <w:rsid w:val="003E5FA6"/>
    <w:rPr>
      <w:rFonts w:ascii="Modern Era" w:hAnsi="Modern Era"/>
      <w:szCs w:val="24"/>
      <w:lang w:eastAsia="en-US"/>
    </w:rPr>
  </w:style>
  <w:style w:type="paragraph" w:customStyle="1" w:styleId="CRTDate">
    <w:name w:val="CRT_Date"/>
    <w:basedOn w:val="CRTNormal"/>
    <w:qFormat/>
    <w:rsid w:val="003E5FA6"/>
    <w:pPr>
      <w:spacing w:after="360"/>
    </w:pPr>
    <w:rPr>
      <w:color w:val="165BAA" w:themeColor="text2"/>
      <w:sz w:val="48"/>
    </w:rPr>
  </w:style>
  <w:style w:type="paragraph" w:customStyle="1" w:styleId="CRTSenderName">
    <w:name w:val="CRT_SenderName"/>
    <w:basedOn w:val="CRTNormal"/>
    <w:rsid w:val="00B512CA"/>
  </w:style>
  <w:style w:type="paragraph" w:styleId="Header">
    <w:name w:val="header"/>
    <w:basedOn w:val="Normal"/>
    <w:link w:val="HeaderChar"/>
    <w:uiPriority w:val="99"/>
    <w:rsid w:val="007A0D5A"/>
    <w:pPr>
      <w:tabs>
        <w:tab w:val="center" w:pos="4153"/>
        <w:tab w:val="right" w:pos="8306"/>
      </w:tabs>
    </w:pPr>
  </w:style>
  <w:style w:type="paragraph" w:styleId="Footer">
    <w:name w:val="footer"/>
    <w:basedOn w:val="Normal"/>
    <w:link w:val="FooterChar"/>
    <w:uiPriority w:val="99"/>
    <w:rsid w:val="007A0D5A"/>
    <w:pPr>
      <w:tabs>
        <w:tab w:val="center" w:pos="4153"/>
        <w:tab w:val="right" w:pos="8306"/>
      </w:tabs>
    </w:pPr>
  </w:style>
  <w:style w:type="paragraph" w:customStyle="1" w:styleId="CRTHeaderLeft">
    <w:name w:val="CRT_HeaderLeft"/>
    <w:basedOn w:val="CRTNormal"/>
    <w:rsid w:val="000504FD"/>
    <w:pPr>
      <w:spacing w:line="240" w:lineRule="exact"/>
    </w:pPr>
    <w:rPr>
      <w:sz w:val="16"/>
    </w:rPr>
  </w:style>
  <w:style w:type="paragraph" w:customStyle="1" w:styleId="CRTFooterLeft">
    <w:name w:val="CRT_FooterLeft"/>
    <w:basedOn w:val="CRTNormal"/>
    <w:rsid w:val="000504FD"/>
    <w:pPr>
      <w:spacing w:line="240" w:lineRule="exact"/>
    </w:pPr>
    <w:rPr>
      <w:sz w:val="16"/>
    </w:rPr>
  </w:style>
  <w:style w:type="paragraph" w:customStyle="1" w:styleId="CRTFooterRight">
    <w:name w:val="CRT_FooterRight"/>
    <w:basedOn w:val="CRTNormal"/>
    <w:rsid w:val="00887928"/>
    <w:pPr>
      <w:spacing w:line="240" w:lineRule="exact"/>
      <w:jc w:val="right"/>
    </w:pPr>
    <w:rPr>
      <w:sz w:val="16"/>
    </w:rPr>
  </w:style>
  <w:style w:type="paragraph" w:customStyle="1" w:styleId="CRTHeader">
    <w:name w:val="CRT_Header"/>
    <w:basedOn w:val="Normal"/>
    <w:rsid w:val="00D44854"/>
    <w:pPr>
      <w:spacing w:after="2880" w:line="240" w:lineRule="exact"/>
    </w:pPr>
    <w:rPr>
      <w:sz w:val="16"/>
      <w:szCs w:val="24"/>
      <w:lang w:eastAsia="en-US"/>
    </w:rPr>
  </w:style>
  <w:style w:type="paragraph" w:customStyle="1" w:styleId="CRTToAddress">
    <w:name w:val="CRT_ToAddress"/>
    <w:basedOn w:val="CRTNormal"/>
    <w:rsid w:val="00EA04F3"/>
    <w:pPr>
      <w:spacing w:line="300" w:lineRule="exact"/>
    </w:pPr>
  </w:style>
  <w:style w:type="paragraph" w:customStyle="1" w:styleId="CRTSenderPosition">
    <w:name w:val="CRT_SenderPosition"/>
    <w:basedOn w:val="CRTNormal"/>
    <w:rsid w:val="00B512CA"/>
  </w:style>
  <w:style w:type="paragraph" w:customStyle="1" w:styleId="CRTBodyText">
    <w:name w:val="CRT_BodyText"/>
    <w:basedOn w:val="CRTNormal"/>
    <w:rsid w:val="00673100"/>
    <w:pPr>
      <w:spacing w:before="120" w:after="240"/>
    </w:pPr>
  </w:style>
  <w:style w:type="paragraph" w:customStyle="1" w:styleId="CRTSignOff">
    <w:name w:val="CRT_SignOff"/>
    <w:basedOn w:val="CRTNormal"/>
    <w:rsid w:val="00B512CA"/>
    <w:pPr>
      <w:spacing w:before="480"/>
    </w:pPr>
  </w:style>
  <w:style w:type="paragraph" w:customStyle="1" w:styleId="CRTToName">
    <w:name w:val="CRT_ToName"/>
    <w:basedOn w:val="CRTNormal"/>
    <w:rsid w:val="008F0673"/>
    <w:pPr>
      <w:spacing w:before="240" w:after="240" w:line="300" w:lineRule="exact"/>
    </w:pPr>
  </w:style>
  <w:style w:type="paragraph" w:customStyle="1" w:styleId="CRTHeadingOne">
    <w:name w:val="CRT_HeadingOne"/>
    <w:basedOn w:val="CRTNormal"/>
    <w:next w:val="CRTBodyText"/>
    <w:rsid w:val="00673100"/>
    <w:pPr>
      <w:pBdr>
        <w:top w:val="single" w:sz="4" w:space="1" w:color="165BAA" w:themeColor="text2"/>
      </w:pBdr>
      <w:spacing w:after="120" w:line="300" w:lineRule="exact"/>
    </w:pPr>
    <w:rPr>
      <w:rFonts w:asciiTheme="majorHAnsi" w:hAnsiTheme="majorHAnsi"/>
      <w:color w:val="165BAA" w:themeColor="text2"/>
      <w:szCs w:val="22"/>
    </w:rPr>
  </w:style>
  <w:style w:type="paragraph" w:customStyle="1" w:styleId="CRTHeadingTwo">
    <w:name w:val="CRT_HeadingTwo"/>
    <w:basedOn w:val="CRTNormal"/>
    <w:next w:val="CRTBodyText"/>
    <w:rsid w:val="003E5FA6"/>
    <w:pPr>
      <w:spacing w:line="300" w:lineRule="exact"/>
    </w:pPr>
    <w:rPr>
      <w:rFonts w:asciiTheme="majorHAnsi" w:hAnsiTheme="majorHAnsi"/>
    </w:rPr>
  </w:style>
  <w:style w:type="paragraph" w:customStyle="1" w:styleId="CRTBullet">
    <w:name w:val="CRT_Bullet"/>
    <w:basedOn w:val="CRTNormal"/>
    <w:rsid w:val="00673100"/>
    <w:pPr>
      <w:numPr>
        <w:numId w:val="1"/>
      </w:numPr>
      <w:spacing w:before="120" w:after="240" w:line="300" w:lineRule="exact"/>
      <w:contextualSpacing/>
    </w:pPr>
  </w:style>
  <w:style w:type="paragraph" w:customStyle="1" w:styleId="CRTOfficeAddressOne">
    <w:name w:val="CRT_OfficeAddressOne"/>
    <w:basedOn w:val="CRTNormal"/>
    <w:rsid w:val="008F3F2F"/>
    <w:pPr>
      <w:spacing w:line="240" w:lineRule="exact"/>
    </w:pPr>
    <w:rPr>
      <w:b/>
    </w:rPr>
  </w:style>
  <w:style w:type="paragraph" w:customStyle="1" w:styleId="CRTOfficeAddressTwo">
    <w:name w:val="CRT_OfficeAddressTwo"/>
    <w:basedOn w:val="CRTNormal"/>
    <w:rsid w:val="008F3F2F"/>
    <w:pPr>
      <w:spacing w:line="240" w:lineRule="exact"/>
    </w:pPr>
  </w:style>
  <w:style w:type="paragraph" w:customStyle="1" w:styleId="CRTToAddressName">
    <w:name w:val="CRT_ToAddressName"/>
    <w:basedOn w:val="CRTNormal"/>
    <w:rsid w:val="005B3D4F"/>
    <w:pPr>
      <w:spacing w:line="300" w:lineRule="exact"/>
    </w:pPr>
  </w:style>
  <w:style w:type="paragraph" w:customStyle="1" w:styleId="CRTFPAddressTwo">
    <w:name w:val="CRT_FP_AddressTwo"/>
    <w:basedOn w:val="CRTNormal"/>
    <w:rsid w:val="009C00E6"/>
    <w:pPr>
      <w:spacing w:line="280" w:lineRule="exact"/>
    </w:pPr>
  </w:style>
  <w:style w:type="paragraph" w:customStyle="1" w:styleId="CRTFPImage">
    <w:name w:val="CRT_FP_Image"/>
    <w:basedOn w:val="CRTNormal"/>
    <w:rsid w:val="009C00E6"/>
    <w:rPr>
      <w:sz w:val="16"/>
    </w:rPr>
  </w:style>
  <w:style w:type="paragraph" w:customStyle="1" w:styleId="CRTSpace">
    <w:name w:val="CRT_Space"/>
    <w:basedOn w:val="CRTNormal"/>
    <w:rsid w:val="003E5FA6"/>
    <w:pPr>
      <w:spacing w:line="20" w:lineRule="exact"/>
    </w:pPr>
    <w:rPr>
      <w:sz w:val="2"/>
    </w:rPr>
  </w:style>
  <w:style w:type="paragraph" w:customStyle="1" w:styleId="CRTBulletNumber">
    <w:name w:val="CRT_BulletNumber"/>
    <w:basedOn w:val="CRTNormal"/>
    <w:rsid w:val="00673100"/>
    <w:pPr>
      <w:numPr>
        <w:numId w:val="3"/>
      </w:numPr>
      <w:spacing w:before="120" w:after="240"/>
      <w:contextualSpacing/>
    </w:pPr>
  </w:style>
  <w:style w:type="paragraph" w:customStyle="1" w:styleId="CRTHeadingThree">
    <w:name w:val="CRT_HeadingThree"/>
    <w:basedOn w:val="CRTNormal"/>
    <w:rsid w:val="003E5FA6"/>
    <w:pPr>
      <w:spacing w:line="300" w:lineRule="exact"/>
    </w:pPr>
    <w:rPr>
      <w:rFonts w:asciiTheme="majorHAnsi" w:hAnsiTheme="majorHAnsi"/>
    </w:rPr>
  </w:style>
  <w:style w:type="paragraph" w:customStyle="1" w:styleId="CRTTBBodyText">
    <w:name w:val="CRT_TB_BodyText"/>
    <w:basedOn w:val="CRTNormal"/>
    <w:rsid w:val="00207545"/>
    <w:pPr>
      <w:spacing w:before="120" w:after="120"/>
    </w:pPr>
  </w:style>
  <w:style w:type="paragraph" w:customStyle="1" w:styleId="CRTTBColHeading">
    <w:name w:val="CRT_TB_ColHeading"/>
    <w:basedOn w:val="CRTNormal"/>
    <w:rsid w:val="003E5FA6"/>
    <w:pPr>
      <w:spacing w:line="300" w:lineRule="exact"/>
    </w:pPr>
    <w:rPr>
      <w:rFonts w:asciiTheme="majorHAnsi" w:hAnsiTheme="majorHAnsi"/>
    </w:rPr>
  </w:style>
  <w:style w:type="paragraph" w:customStyle="1" w:styleId="CRTFPAddressOne">
    <w:name w:val="CRT_FP_AddressOne"/>
    <w:basedOn w:val="CRTNormal"/>
    <w:rsid w:val="000E7611"/>
    <w:pPr>
      <w:spacing w:line="280" w:lineRule="exact"/>
    </w:pPr>
    <w:rPr>
      <w:rFonts w:asciiTheme="majorHAnsi" w:hAnsiTheme="majorHAnsi"/>
    </w:rPr>
  </w:style>
  <w:style w:type="paragraph" w:customStyle="1" w:styleId="CRTFPAddressCharity">
    <w:name w:val="CRT_FP_AddressCharity"/>
    <w:basedOn w:val="CRTNormal"/>
    <w:autoRedefine/>
    <w:qFormat/>
    <w:rsid w:val="004D1AFD"/>
    <w:pPr>
      <w:spacing w:line="240" w:lineRule="exact"/>
    </w:pPr>
    <w:rPr>
      <w:sz w:val="16"/>
    </w:rPr>
  </w:style>
  <w:style w:type="character" w:customStyle="1" w:styleId="CRTNormalChar">
    <w:name w:val="CRT_Normal Char"/>
    <w:basedOn w:val="DefaultParagraphFont"/>
    <w:link w:val="CRTNormal"/>
    <w:rsid w:val="003E5FA6"/>
    <w:rPr>
      <w:rFonts w:ascii="Modern Era" w:hAnsi="Modern Era"/>
      <w:szCs w:val="24"/>
      <w:lang w:eastAsia="en-US"/>
    </w:rPr>
  </w:style>
  <w:style w:type="paragraph" w:styleId="BalloonText">
    <w:name w:val="Balloon Text"/>
    <w:basedOn w:val="Normal"/>
    <w:link w:val="BalloonTextChar"/>
    <w:rsid w:val="00C422E6"/>
    <w:rPr>
      <w:rFonts w:ascii="Tahoma" w:hAnsi="Tahoma" w:cs="Tahoma"/>
      <w:sz w:val="16"/>
      <w:szCs w:val="16"/>
    </w:rPr>
  </w:style>
  <w:style w:type="character" w:customStyle="1" w:styleId="BalloonTextChar">
    <w:name w:val="Balloon Text Char"/>
    <w:basedOn w:val="DefaultParagraphFont"/>
    <w:link w:val="BalloonText"/>
    <w:rsid w:val="00C422E6"/>
    <w:rPr>
      <w:rFonts w:ascii="Tahoma" w:hAnsi="Tahoma" w:cs="Tahoma"/>
      <w:sz w:val="16"/>
      <w:szCs w:val="16"/>
    </w:rPr>
  </w:style>
  <w:style w:type="table" w:styleId="TableGrid">
    <w:name w:val="Table Grid"/>
    <w:basedOn w:val="TableNormal"/>
    <w:rsid w:val="00DD7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URL">
    <w:name w:val="CRT_URL"/>
    <w:basedOn w:val="CRTNormal"/>
    <w:autoRedefine/>
    <w:qFormat/>
    <w:rsid w:val="005D77F6"/>
    <w:pPr>
      <w:jc w:val="right"/>
    </w:pPr>
    <w:rPr>
      <w:rFonts w:asciiTheme="majorHAnsi" w:hAnsiTheme="majorHAnsi"/>
      <w:color w:val="165BAA" w:themeColor="text2"/>
      <w:sz w:val="32"/>
    </w:rPr>
  </w:style>
  <w:style w:type="paragraph" w:customStyle="1" w:styleId="CRTFooterAddress">
    <w:name w:val="CRT_Footer Address"/>
    <w:basedOn w:val="CRTNormal"/>
    <w:autoRedefine/>
    <w:qFormat/>
    <w:rsid w:val="005D77F6"/>
    <w:rPr>
      <w:sz w:val="16"/>
    </w:rPr>
  </w:style>
  <w:style w:type="paragraph" w:customStyle="1" w:styleId="CRTFooterHeading">
    <w:name w:val="CRT_Footer Heading"/>
    <w:basedOn w:val="CRTNormal"/>
    <w:autoRedefine/>
    <w:qFormat/>
    <w:rsid w:val="00E51EEC"/>
    <w:rPr>
      <w:rFonts w:asciiTheme="majorHAnsi" w:hAnsiTheme="majorHAnsi"/>
      <w:sz w:val="16"/>
    </w:rPr>
  </w:style>
  <w:style w:type="paragraph" w:customStyle="1" w:styleId="CRTFooterSmallText">
    <w:name w:val="CRT_Footer Small Text"/>
    <w:basedOn w:val="CRTNormal"/>
    <w:autoRedefine/>
    <w:qFormat/>
    <w:rsid w:val="00E51EEC"/>
    <w:pPr>
      <w:spacing w:before="120"/>
    </w:pPr>
    <w:rPr>
      <w:sz w:val="12"/>
    </w:rPr>
  </w:style>
  <w:style w:type="paragraph" w:customStyle="1" w:styleId="CRTTBRowHeading">
    <w:name w:val="CRT_TB_RowHeading"/>
    <w:basedOn w:val="CRTNormal"/>
    <w:rsid w:val="003E5FA6"/>
    <w:pPr>
      <w:spacing w:before="60" w:after="200"/>
    </w:pPr>
    <w:rPr>
      <w:rFonts w:asciiTheme="majorHAnsi" w:hAnsiTheme="majorHAnsi"/>
      <w:color w:val="165BAA" w:themeColor="text2"/>
      <w:sz w:val="26"/>
    </w:rPr>
  </w:style>
  <w:style w:type="paragraph" w:customStyle="1" w:styleId="CRTTitle">
    <w:name w:val="CRT_Title"/>
    <w:basedOn w:val="CRTNormal"/>
    <w:rsid w:val="003E5FA6"/>
    <w:rPr>
      <w:rFonts w:asciiTheme="majorHAnsi" w:hAnsiTheme="majorHAnsi"/>
      <w:color w:val="165BAA" w:themeColor="text2"/>
      <w:spacing w:val="24"/>
      <w:kern w:val="36"/>
      <w:sz w:val="48"/>
      <w:szCs w:val="40"/>
    </w:rPr>
  </w:style>
  <w:style w:type="paragraph" w:customStyle="1" w:styleId="CRTSubtitle">
    <w:name w:val="CRT_Subtitle"/>
    <w:basedOn w:val="CRTTitle"/>
    <w:autoRedefine/>
    <w:qFormat/>
    <w:rsid w:val="00BA137F"/>
    <w:rPr>
      <w:rFonts w:ascii="Modern Era" w:hAnsi="Modern Era"/>
    </w:rPr>
  </w:style>
  <w:style w:type="paragraph" w:customStyle="1" w:styleId="CRTNumberedHeading1">
    <w:name w:val="CRT_Numbered Heading 1"/>
    <w:basedOn w:val="CRTHeadingOne"/>
    <w:autoRedefine/>
    <w:qFormat/>
    <w:rsid w:val="00673100"/>
    <w:pPr>
      <w:numPr>
        <w:numId w:val="5"/>
      </w:numPr>
    </w:pPr>
  </w:style>
  <w:style w:type="paragraph" w:customStyle="1" w:styleId="CRTNumberedHeading2">
    <w:name w:val="CRT_Numbered Heading 2"/>
    <w:basedOn w:val="CRTHeadingTwo"/>
    <w:autoRedefine/>
    <w:qFormat/>
    <w:rsid w:val="00624EBF"/>
    <w:pPr>
      <w:numPr>
        <w:numId w:val="6"/>
      </w:numPr>
    </w:pPr>
  </w:style>
  <w:style w:type="paragraph" w:customStyle="1" w:styleId="CRTNumberedBodyText">
    <w:name w:val="CRT_Numbered BodyText"/>
    <w:basedOn w:val="CRTBodyText"/>
    <w:autoRedefine/>
    <w:qFormat/>
    <w:rsid w:val="00EB6BBE"/>
    <w:pPr>
      <w:numPr>
        <w:ilvl w:val="2"/>
        <w:numId w:val="7"/>
      </w:numPr>
    </w:pPr>
  </w:style>
  <w:style w:type="paragraph" w:customStyle="1" w:styleId="CRTLetteredList">
    <w:name w:val="CRT_Lettered List"/>
    <w:basedOn w:val="CRTBullet"/>
    <w:autoRedefine/>
    <w:qFormat/>
    <w:rsid w:val="008C271E"/>
    <w:pPr>
      <w:numPr>
        <w:numId w:val="8"/>
      </w:numPr>
    </w:pPr>
  </w:style>
  <w:style w:type="paragraph" w:customStyle="1" w:styleId="CRTAction">
    <w:name w:val="CRT_Action"/>
    <w:basedOn w:val="Normal"/>
    <w:rsid w:val="00D42334"/>
    <w:pPr>
      <w:spacing w:line="300" w:lineRule="exact"/>
      <w:jc w:val="right"/>
    </w:pPr>
    <w:rPr>
      <w:szCs w:val="24"/>
      <w:lang w:eastAsia="en-US"/>
    </w:rPr>
  </w:style>
  <w:style w:type="paragraph" w:customStyle="1" w:styleId="CRTTBRowHeadingRight">
    <w:name w:val="CRT_TB_RowHeadingRight"/>
    <w:basedOn w:val="CRTTBRowHeading"/>
    <w:rsid w:val="00D42334"/>
    <w:pPr>
      <w:jc w:val="right"/>
    </w:pPr>
  </w:style>
  <w:style w:type="paragraph" w:customStyle="1" w:styleId="CRTAuthorDetails">
    <w:name w:val="CRT_Author Details"/>
    <w:basedOn w:val="CRTNormal"/>
    <w:autoRedefine/>
    <w:qFormat/>
    <w:rsid w:val="00F807EC"/>
  </w:style>
  <w:style w:type="paragraph" w:customStyle="1" w:styleId="CRTContents">
    <w:name w:val="CRT_Contents"/>
    <w:basedOn w:val="CRTNormal"/>
    <w:rsid w:val="00186773"/>
    <w:pPr>
      <w:spacing w:after="300" w:line="300" w:lineRule="exact"/>
    </w:pPr>
    <w:rPr>
      <w:rFonts w:ascii="Modern Era Bold" w:hAnsi="Modern Era Bold"/>
      <w:color w:val="165BAA" w:themeColor="text2"/>
      <w:sz w:val="24"/>
    </w:rPr>
  </w:style>
  <w:style w:type="paragraph" w:styleId="TOC3">
    <w:name w:val="toc 3"/>
    <w:basedOn w:val="Normal"/>
    <w:next w:val="Normal"/>
    <w:rsid w:val="00BD5CCD"/>
    <w:pPr>
      <w:tabs>
        <w:tab w:val="right" w:pos="9792"/>
      </w:tabs>
      <w:spacing w:line="300" w:lineRule="exact"/>
    </w:pPr>
    <w:rPr>
      <w:szCs w:val="24"/>
      <w:lang w:eastAsia="en-US"/>
    </w:rPr>
  </w:style>
  <w:style w:type="paragraph" w:styleId="TOC1">
    <w:name w:val="toc 1"/>
    <w:basedOn w:val="Normal"/>
    <w:next w:val="Normal"/>
    <w:rsid w:val="00BD5CCD"/>
    <w:pPr>
      <w:tabs>
        <w:tab w:val="right" w:pos="9792"/>
      </w:tabs>
      <w:spacing w:line="300" w:lineRule="exact"/>
    </w:pPr>
    <w:rPr>
      <w:rFonts w:ascii="Modern Era Bold" w:hAnsi="Modern Era Bold"/>
      <w:szCs w:val="24"/>
      <w:lang w:eastAsia="en-US"/>
    </w:rPr>
  </w:style>
  <w:style w:type="paragraph" w:styleId="TOC2">
    <w:name w:val="toc 2"/>
    <w:basedOn w:val="Normal"/>
    <w:next w:val="Normal"/>
    <w:rsid w:val="00BD5CCD"/>
    <w:pPr>
      <w:tabs>
        <w:tab w:val="right" w:pos="9792"/>
      </w:tabs>
      <w:spacing w:line="300" w:lineRule="exact"/>
    </w:pPr>
    <w:rPr>
      <w:szCs w:val="24"/>
      <w:lang w:eastAsia="en-US"/>
    </w:rPr>
  </w:style>
  <w:style w:type="paragraph" w:customStyle="1" w:styleId="CRTCaption">
    <w:name w:val="CRT_Caption"/>
    <w:basedOn w:val="CRTNormal"/>
    <w:rsid w:val="008332CE"/>
    <w:pPr>
      <w:spacing w:line="220" w:lineRule="exact"/>
    </w:pPr>
    <w:rPr>
      <w:sz w:val="18"/>
    </w:rPr>
  </w:style>
  <w:style w:type="paragraph" w:customStyle="1" w:styleId="BWWFPAddressTwo">
    <w:name w:val="BWW_FP_AddressTwo"/>
    <w:basedOn w:val="Normal"/>
    <w:rsid w:val="00D958FC"/>
    <w:pPr>
      <w:spacing w:line="280" w:lineRule="exact"/>
    </w:pPr>
    <w:rPr>
      <w:szCs w:val="24"/>
      <w:lang w:eastAsia="en-US"/>
    </w:rPr>
  </w:style>
  <w:style w:type="paragraph" w:customStyle="1" w:styleId="BWWFPAddressCharity">
    <w:name w:val="BWW_FP_AddressCharity"/>
    <w:basedOn w:val="Normal"/>
    <w:autoRedefine/>
    <w:qFormat/>
    <w:rsid w:val="00D958FC"/>
    <w:pPr>
      <w:spacing w:line="240" w:lineRule="exact"/>
    </w:pPr>
    <w:rPr>
      <w:sz w:val="16"/>
      <w:szCs w:val="24"/>
      <w:lang w:eastAsia="en-US"/>
    </w:rPr>
  </w:style>
  <w:style w:type="paragraph" w:customStyle="1" w:styleId="BWWFPAddressOne">
    <w:name w:val="BWW_FP_AddressOne"/>
    <w:basedOn w:val="Normal"/>
    <w:rsid w:val="00D958FC"/>
    <w:pPr>
      <w:spacing w:line="280" w:lineRule="exact"/>
    </w:pPr>
    <w:rPr>
      <w:b/>
      <w:szCs w:val="24"/>
      <w:lang w:eastAsia="en-US"/>
    </w:rPr>
  </w:style>
  <w:style w:type="paragraph" w:customStyle="1" w:styleId="LSRNormal">
    <w:name w:val="LSR_Normal"/>
    <w:rsid w:val="00075DE2"/>
    <w:rPr>
      <w:rFonts w:ascii="Frutiger LT 55 Roman" w:eastAsiaTheme="minorHAnsi" w:hAnsi="Frutiger LT 55 Roman" w:cstheme="minorBidi"/>
      <w:color w:val="3C3C3C"/>
      <w:szCs w:val="22"/>
      <w:lang w:eastAsia="en-US"/>
    </w:rPr>
  </w:style>
  <w:style w:type="character" w:styleId="PlaceholderText">
    <w:name w:val="Placeholder Text"/>
    <w:basedOn w:val="DefaultParagraphFont"/>
    <w:uiPriority w:val="99"/>
    <w:semiHidden/>
    <w:rsid w:val="00554DA5"/>
    <w:rPr>
      <w:color w:val="808080"/>
    </w:rPr>
  </w:style>
  <w:style w:type="paragraph" w:styleId="FootnoteText">
    <w:name w:val="footnote text"/>
    <w:basedOn w:val="Normal"/>
    <w:link w:val="FootnoteTextChar"/>
    <w:uiPriority w:val="99"/>
    <w:unhideWhenUsed/>
    <w:rsid w:val="00554DA5"/>
    <w:pPr>
      <w:spacing w:after="180" w:line="190" w:lineRule="atLeast"/>
    </w:pPr>
    <w:rPr>
      <w:rFonts w:ascii="Helvetica Neue LT Std 65 Medium" w:eastAsiaTheme="minorEastAsia" w:hAnsi="Helvetica Neue LT Std 65 Medium"/>
      <w:color w:val="40403E"/>
      <w:position w:val="14"/>
      <w:sz w:val="22"/>
      <w:lang w:eastAsia="zh-TW"/>
    </w:rPr>
  </w:style>
  <w:style w:type="character" w:customStyle="1" w:styleId="FootnoteTextChar">
    <w:name w:val="Footnote Text Char"/>
    <w:basedOn w:val="DefaultParagraphFont"/>
    <w:link w:val="FootnoteText"/>
    <w:uiPriority w:val="99"/>
    <w:rsid w:val="00554DA5"/>
    <w:rPr>
      <w:rFonts w:ascii="Helvetica Neue LT Std 65 Medium" w:eastAsiaTheme="minorEastAsia" w:hAnsi="Helvetica Neue LT Std 65 Medium"/>
      <w:color w:val="40403E"/>
      <w:position w:val="14"/>
      <w:sz w:val="22"/>
      <w:lang w:eastAsia="zh-TW"/>
    </w:rPr>
  </w:style>
  <w:style w:type="character" w:styleId="FootnoteReference">
    <w:name w:val="footnote reference"/>
    <w:aliases w:val="IER footnote"/>
    <w:basedOn w:val="DefaultParagraphFont"/>
    <w:uiPriority w:val="99"/>
    <w:unhideWhenUsed/>
    <w:rsid w:val="00554DA5"/>
    <w:rPr>
      <w:color w:val="auto"/>
      <w:position w:val="12"/>
      <w:sz w:val="16"/>
      <w:vertAlign w:val="baseline"/>
    </w:rPr>
  </w:style>
  <w:style w:type="paragraph" w:styleId="Caption">
    <w:name w:val="caption"/>
    <w:basedOn w:val="Normal"/>
    <w:next w:val="Normal"/>
    <w:uiPriority w:val="35"/>
    <w:unhideWhenUsed/>
    <w:qFormat/>
    <w:rsid w:val="00B22CEB"/>
    <w:pPr>
      <w:spacing w:after="80" w:line="276" w:lineRule="auto"/>
    </w:pPr>
    <w:rPr>
      <w:rFonts w:ascii="HelveticaNeueLT Std" w:eastAsiaTheme="minorEastAsia" w:hAnsi="HelveticaNeueLT Std"/>
      <w:color w:val="A5A7A6"/>
      <w:szCs w:val="16"/>
      <w:lang w:eastAsia="zh-TW"/>
    </w:rPr>
  </w:style>
  <w:style w:type="paragraph" w:styleId="ListParagraph">
    <w:name w:val="List Paragraph"/>
    <w:basedOn w:val="Normal"/>
    <w:uiPriority w:val="34"/>
    <w:qFormat/>
    <w:rsid w:val="00B22CEB"/>
    <w:pPr>
      <w:ind w:left="720"/>
      <w:contextualSpacing/>
    </w:pPr>
  </w:style>
  <w:style w:type="paragraph" w:styleId="ListNumber2">
    <w:name w:val="List Number 2"/>
    <w:basedOn w:val="ListNumber"/>
    <w:uiPriority w:val="99"/>
    <w:rsid w:val="00F34F1A"/>
    <w:pPr>
      <w:numPr>
        <w:numId w:val="12"/>
      </w:numPr>
      <w:tabs>
        <w:tab w:val="left" w:pos="714"/>
      </w:tabs>
      <w:spacing w:after="180" w:line="240" w:lineRule="atLeast"/>
      <w:contextualSpacing w:val="0"/>
    </w:pPr>
    <w:rPr>
      <w:rFonts w:ascii="Helvetica Neue LT Std 65 Medium" w:hAnsi="Helvetica Neue LT Std 65 Medium"/>
      <w:color w:val="797A7E" w:themeColor="text1"/>
      <w:sz w:val="22"/>
      <w:szCs w:val="24"/>
    </w:rPr>
  </w:style>
  <w:style w:type="paragraph" w:styleId="ListBullet">
    <w:name w:val="List Bullet"/>
    <w:basedOn w:val="Normal"/>
    <w:uiPriority w:val="99"/>
    <w:qFormat/>
    <w:rsid w:val="00F34F1A"/>
    <w:pPr>
      <w:tabs>
        <w:tab w:val="left" w:pos="357"/>
      </w:tabs>
      <w:spacing w:after="180"/>
    </w:pPr>
    <w:rPr>
      <w:rFonts w:ascii="HelveticaNeueLT Std Lt" w:eastAsiaTheme="minorEastAsia" w:hAnsi="HelveticaNeueLT Std Lt"/>
      <w:color w:val="9A9B9E" w:themeColor="text1" w:themeTint="BF"/>
      <w:sz w:val="22"/>
      <w:szCs w:val="22"/>
      <w:lang w:eastAsia="zh-TW"/>
    </w:rPr>
  </w:style>
  <w:style w:type="paragraph" w:styleId="NormalWeb">
    <w:name w:val="Normal (Web)"/>
    <w:basedOn w:val="Normal"/>
    <w:uiPriority w:val="99"/>
    <w:unhideWhenUsed/>
    <w:rsid w:val="00F34F1A"/>
    <w:pPr>
      <w:spacing w:before="100" w:beforeAutospacing="1" w:after="100" w:afterAutospacing="1"/>
    </w:pPr>
    <w:rPr>
      <w:rFonts w:ascii="Times New Roman" w:eastAsiaTheme="minorEastAsia" w:hAnsi="Times New Roman"/>
      <w:color w:val="40403E"/>
      <w:sz w:val="24"/>
      <w:szCs w:val="24"/>
    </w:rPr>
  </w:style>
  <w:style w:type="paragraph" w:styleId="ListNumber">
    <w:name w:val="List Number"/>
    <w:basedOn w:val="Normal"/>
    <w:rsid w:val="00F34F1A"/>
    <w:pPr>
      <w:contextualSpacing/>
    </w:pPr>
  </w:style>
  <w:style w:type="paragraph" w:styleId="EndnoteText">
    <w:name w:val="endnote text"/>
    <w:basedOn w:val="Normal"/>
    <w:link w:val="EndnoteTextChar"/>
    <w:unhideWhenUsed/>
    <w:rsid w:val="00F34F1A"/>
  </w:style>
  <w:style w:type="character" w:customStyle="1" w:styleId="EndnoteTextChar">
    <w:name w:val="Endnote Text Char"/>
    <w:basedOn w:val="DefaultParagraphFont"/>
    <w:link w:val="EndnoteText"/>
    <w:rsid w:val="00F34F1A"/>
    <w:rPr>
      <w:rFonts w:asciiTheme="minorHAnsi" w:hAnsiTheme="minorHAnsi"/>
    </w:rPr>
  </w:style>
  <w:style w:type="character" w:styleId="EndnoteReference">
    <w:name w:val="endnote reference"/>
    <w:basedOn w:val="DefaultParagraphFont"/>
    <w:uiPriority w:val="99"/>
    <w:semiHidden/>
    <w:unhideWhenUsed/>
    <w:rsid w:val="00F34F1A"/>
    <w:rPr>
      <w:vertAlign w:val="superscript"/>
    </w:rPr>
  </w:style>
  <w:style w:type="character" w:styleId="CommentReference">
    <w:name w:val="annotation reference"/>
    <w:basedOn w:val="DefaultParagraphFont"/>
    <w:uiPriority w:val="99"/>
    <w:semiHidden/>
    <w:unhideWhenUsed/>
    <w:rsid w:val="00F3081F"/>
    <w:rPr>
      <w:sz w:val="16"/>
      <w:szCs w:val="16"/>
    </w:rPr>
  </w:style>
  <w:style w:type="paragraph" w:styleId="CommentText">
    <w:name w:val="annotation text"/>
    <w:basedOn w:val="Normal"/>
    <w:link w:val="CommentTextChar"/>
    <w:unhideWhenUsed/>
    <w:rsid w:val="00F3081F"/>
  </w:style>
  <w:style w:type="character" w:customStyle="1" w:styleId="CommentTextChar">
    <w:name w:val="Comment Text Char"/>
    <w:basedOn w:val="DefaultParagraphFont"/>
    <w:link w:val="CommentText"/>
    <w:rsid w:val="00F3081F"/>
    <w:rPr>
      <w:rFonts w:asciiTheme="minorHAnsi" w:hAnsiTheme="minorHAnsi"/>
    </w:rPr>
  </w:style>
  <w:style w:type="paragraph" w:styleId="CommentSubject">
    <w:name w:val="annotation subject"/>
    <w:basedOn w:val="CommentText"/>
    <w:next w:val="CommentText"/>
    <w:link w:val="CommentSubjectChar"/>
    <w:semiHidden/>
    <w:unhideWhenUsed/>
    <w:rsid w:val="00F3081F"/>
    <w:rPr>
      <w:b/>
      <w:bCs/>
    </w:rPr>
  </w:style>
  <w:style w:type="character" w:customStyle="1" w:styleId="CommentSubjectChar">
    <w:name w:val="Comment Subject Char"/>
    <w:basedOn w:val="CommentTextChar"/>
    <w:link w:val="CommentSubject"/>
    <w:semiHidden/>
    <w:rsid w:val="00F3081F"/>
    <w:rPr>
      <w:rFonts w:asciiTheme="minorHAnsi" w:hAnsiTheme="minorHAnsi"/>
      <w:b/>
      <w:bCs/>
    </w:rPr>
  </w:style>
  <w:style w:type="paragraph" w:styleId="Revision">
    <w:name w:val="Revision"/>
    <w:hidden/>
    <w:uiPriority w:val="99"/>
    <w:semiHidden/>
    <w:rsid w:val="00BF042A"/>
    <w:rPr>
      <w:rFonts w:asciiTheme="minorHAnsi" w:hAnsiTheme="minorHAnsi"/>
    </w:rPr>
  </w:style>
  <w:style w:type="character" w:styleId="Strong">
    <w:name w:val="Strong"/>
    <w:basedOn w:val="DefaultParagraphFont"/>
    <w:uiPriority w:val="22"/>
    <w:qFormat/>
    <w:rsid w:val="004772A6"/>
    <w:rPr>
      <w:b/>
      <w:bCs/>
    </w:rPr>
  </w:style>
  <w:style w:type="character" w:styleId="Mention">
    <w:name w:val="Mention"/>
    <w:basedOn w:val="DefaultParagraphFont"/>
    <w:uiPriority w:val="99"/>
    <w:unhideWhenUsed/>
    <w:rsid w:val="00AF68D0"/>
    <w:rPr>
      <w:color w:val="2B579A"/>
      <w:shd w:val="clear" w:color="auto" w:fill="E1DFDD"/>
    </w:rPr>
  </w:style>
  <w:style w:type="character" w:customStyle="1" w:styleId="Heading1Char">
    <w:name w:val="Heading 1 Char"/>
    <w:basedOn w:val="DefaultParagraphFont"/>
    <w:link w:val="Heading1"/>
    <w:rsid w:val="00645230"/>
    <w:rPr>
      <w:rFonts w:asciiTheme="majorHAnsi" w:eastAsiaTheme="majorEastAsia" w:hAnsiTheme="majorHAnsi" w:cstheme="majorBidi"/>
      <w:color w:val="10437F" w:themeColor="accent1" w:themeShade="BF"/>
      <w:sz w:val="32"/>
      <w:szCs w:val="32"/>
    </w:rPr>
  </w:style>
  <w:style w:type="character" w:styleId="Hyperlink">
    <w:name w:val="Hyperlink"/>
    <w:basedOn w:val="DefaultParagraphFont"/>
    <w:uiPriority w:val="99"/>
    <w:unhideWhenUsed/>
    <w:rsid w:val="00645230"/>
    <w:rPr>
      <w:color w:val="0000FF" w:themeColor="hyperlink"/>
      <w:u w:val="single"/>
    </w:rPr>
  </w:style>
  <w:style w:type="character" w:styleId="UnresolvedMention">
    <w:name w:val="Unresolved Mention"/>
    <w:basedOn w:val="DefaultParagraphFont"/>
    <w:uiPriority w:val="99"/>
    <w:semiHidden/>
    <w:unhideWhenUsed/>
    <w:rsid w:val="00645230"/>
    <w:rPr>
      <w:color w:val="605E5C"/>
      <w:shd w:val="clear" w:color="auto" w:fill="E1DFDD"/>
    </w:rPr>
  </w:style>
  <w:style w:type="paragraph" w:styleId="BodyText">
    <w:name w:val="Body Text"/>
    <w:basedOn w:val="Normal"/>
    <w:link w:val="BodyTextChar"/>
    <w:uiPriority w:val="99"/>
    <w:qFormat/>
    <w:rsid w:val="006256AB"/>
    <w:pPr>
      <w:spacing w:after="180" w:line="240" w:lineRule="atLeast"/>
    </w:pPr>
    <w:rPr>
      <w:rFonts w:eastAsiaTheme="minorHAnsi" w:cstheme="minorBidi"/>
      <w:kern w:val="18"/>
      <w:szCs w:val="18"/>
      <w:lang w:eastAsia="en-US"/>
    </w:rPr>
  </w:style>
  <w:style w:type="character" w:customStyle="1" w:styleId="BodyTextChar">
    <w:name w:val="Body Text Char"/>
    <w:basedOn w:val="DefaultParagraphFont"/>
    <w:link w:val="BodyText"/>
    <w:uiPriority w:val="99"/>
    <w:rsid w:val="006256AB"/>
    <w:rPr>
      <w:rFonts w:asciiTheme="minorHAnsi" w:eastAsiaTheme="minorHAnsi" w:hAnsiTheme="minorHAnsi" w:cstheme="minorBidi"/>
      <w:kern w:val="18"/>
      <w:szCs w:val="18"/>
      <w:lang w:eastAsia="en-US"/>
    </w:rPr>
  </w:style>
  <w:style w:type="paragraph" w:styleId="ListBullet4">
    <w:name w:val="List Bullet 4"/>
    <w:basedOn w:val="Normal"/>
    <w:uiPriority w:val="99"/>
    <w:semiHidden/>
    <w:unhideWhenUsed/>
    <w:rsid w:val="006256AB"/>
    <w:pPr>
      <w:numPr>
        <w:numId w:val="21"/>
      </w:numPr>
      <w:tabs>
        <w:tab w:val="clear" w:pos="1209"/>
        <w:tab w:val="left" w:pos="284"/>
      </w:tabs>
      <w:spacing w:after="0" w:line="240" w:lineRule="atLeast"/>
      <w:ind w:left="0" w:firstLine="0"/>
      <w:contextualSpacing/>
    </w:pPr>
    <w:rPr>
      <w:rFonts w:eastAsiaTheme="minorHAnsi" w:cstheme="minorBidi"/>
      <w:kern w:val="18"/>
      <w:szCs w:val="18"/>
      <w:lang w:eastAsia="en-US"/>
    </w:rPr>
  </w:style>
  <w:style w:type="table" w:styleId="LightGrid-Accent4">
    <w:name w:val="Light Grid Accent 4"/>
    <w:basedOn w:val="TableNormal"/>
    <w:uiPriority w:val="62"/>
    <w:semiHidden/>
    <w:unhideWhenUsed/>
    <w:rsid w:val="005648BB"/>
    <w:rPr>
      <w:rFonts w:asciiTheme="minorHAnsi" w:eastAsiaTheme="minorHAnsi" w:hAnsiTheme="minorHAnsi" w:cstheme="minorBidi"/>
      <w:sz w:val="18"/>
      <w:szCs w:val="18"/>
      <w:lang w:eastAsia="en-US"/>
    </w:rPr>
    <w:tblPr>
      <w:tblStyleRowBandSize w:val="1"/>
      <w:tblStyleColBandSize w:val="1"/>
      <w:tblBorders>
        <w:top w:val="single" w:sz="8" w:space="0" w:color="00E05B" w:themeColor="accent4"/>
        <w:left w:val="single" w:sz="8" w:space="0" w:color="00E05B" w:themeColor="accent4"/>
        <w:bottom w:val="single" w:sz="8" w:space="0" w:color="00E05B" w:themeColor="accent4"/>
        <w:right w:val="single" w:sz="8" w:space="0" w:color="00E05B" w:themeColor="accent4"/>
        <w:insideH w:val="single" w:sz="8" w:space="0" w:color="00E05B" w:themeColor="accent4"/>
        <w:insideV w:val="single" w:sz="8" w:space="0" w:color="00E05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E05B" w:themeColor="accent4"/>
          <w:left w:val="single" w:sz="8" w:space="0" w:color="00E05B" w:themeColor="accent4"/>
          <w:bottom w:val="single" w:sz="18" w:space="0" w:color="00E05B" w:themeColor="accent4"/>
          <w:right w:val="single" w:sz="8" w:space="0" w:color="00E05B" w:themeColor="accent4"/>
          <w:insideH w:val="nil"/>
          <w:insideV w:val="single" w:sz="8" w:space="0" w:color="00E05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E05B" w:themeColor="accent4"/>
          <w:left w:val="single" w:sz="8" w:space="0" w:color="00E05B" w:themeColor="accent4"/>
          <w:bottom w:val="single" w:sz="8" w:space="0" w:color="00E05B" w:themeColor="accent4"/>
          <w:right w:val="single" w:sz="8" w:space="0" w:color="00E05B" w:themeColor="accent4"/>
          <w:insideH w:val="nil"/>
          <w:insideV w:val="single" w:sz="8" w:space="0" w:color="00E05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E05B" w:themeColor="accent4"/>
          <w:left w:val="single" w:sz="8" w:space="0" w:color="00E05B" w:themeColor="accent4"/>
          <w:bottom w:val="single" w:sz="8" w:space="0" w:color="00E05B" w:themeColor="accent4"/>
          <w:right w:val="single" w:sz="8" w:space="0" w:color="00E05B" w:themeColor="accent4"/>
        </w:tcBorders>
      </w:tcPr>
    </w:tblStylePr>
    <w:tblStylePr w:type="band1Vert">
      <w:tblPr/>
      <w:tcPr>
        <w:tcBorders>
          <w:top w:val="single" w:sz="8" w:space="0" w:color="00E05B" w:themeColor="accent4"/>
          <w:left w:val="single" w:sz="8" w:space="0" w:color="00E05B" w:themeColor="accent4"/>
          <w:bottom w:val="single" w:sz="8" w:space="0" w:color="00E05B" w:themeColor="accent4"/>
          <w:right w:val="single" w:sz="8" w:space="0" w:color="00E05B" w:themeColor="accent4"/>
        </w:tcBorders>
        <w:shd w:val="clear" w:color="auto" w:fill="B8FFD4" w:themeFill="accent4" w:themeFillTint="3F"/>
      </w:tcPr>
    </w:tblStylePr>
    <w:tblStylePr w:type="band1Horz">
      <w:tblPr/>
      <w:tcPr>
        <w:tcBorders>
          <w:top w:val="single" w:sz="8" w:space="0" w:color="00E05B" w:themeColor="accent4"/>
          <w:left w:val="single" w:sz="8" w:space="0" w:color="00E05B" w:themeColor="accent4"/>
          <w:bottom w:val="single" w:sz="8" w:space="0" w:color="00E05B" w:themeColor="accent4"/>
          <w:right w:val="single" w:sz="8" w:space="0" w:color="00E05B" w:themeColor="accent4"/>
          <w:insideV w:val="single" w:sz="8" w:space="0" w:color="00E05B" w:themeColor="accent4"/>
        </w:tcBorders>
        <w:shd w:val="clear" w:color="auto" w:fill="B8FFD4" w:themeFill="accent4" w:themeFillTint="3F"/>
      </w:tcPr>
    </w:tblStylePr>
    <w:tblStylePr w:type="band2Horz">
      <w:tblPr/>
      <w:tcPr>
        <w:tcBorders>
          <w:top w:val="single" w:sz="8" w:space="0" w:color="00E05B" w:themeColor="accent4"/>
          <w:left w:val="single" w:sz="8" w:space="0" w:color="00E05B" w:themeColor="accent4"/>
          <w:bottom w:val="single" w:sz="8" w:space="0" w:color="00E05B" w:themeColor="accent4"/>
          <w:right w:val="single" w:sz="8" w:space="0" w:color="00E05B" w:themeColor="accent4"/>
          <w:insideV w:val="single" w:sz="8" w:space="0" w:color="00E05B" w:themeColor="accent4"/>
        </w:tcBorders>
      </w:tcPr>
    </w:tblStylePr>
  </w:style>
  <w:style w:type="character" w:customStyle="1" w:styleId="HeaderChar">
    <w:name w:val="Header Char"/>
    <w:basedOn w:val="DefaultParagraphFont"/>
    <w:link w:val="Header"/>
    <w:uiPriority w:val="99"/>
    <w:rsid w:val="005F2FFE"/>
    <w:rPr>
      <w:rFonts w:asciiTheme="minorHAnsi" w:hAnsiTheme="minorHAnsi"/>
    </w:rPr>
  </w:style>
  <w:style w:type="character" w:customStyle="1" w:styleId="FooterChar">
    <w:name w:val="Footer Char"/>
    <w:basedOn w:val="DefaultParagraphFont"/>
    <w:link w:val="Footer"/>
    <w:uiPriority w:val="99"/>
    <w:rsid w:val="005F2FFE"/>
    <w:rPr>
      <w:rFonts w:asciiTheme="minorHAnsi" w:hAnsiTheme="minorHAnsi"/>
    </w:rPr>
  </w:style>
  <w:style w:type="table" w:customStyle="1" w:styleId="Plaingrid">
    <w:name w:val="Plain grid"/>
    <w:basedOn w:val="TableNormal"/>
    <w:uiPriority w:val="99"/>
    <w:semiHidden/>
    <w:unhideWhenUsed/>
    <w:rsid w:val="005F2FFE"/>
    <w:rPr>
      <w:rFonts w:asciiTheme="minorHAnsi" w:eastAsiaTheme="minorHAnsi" w:hAnsiTheme="minorHAnsi" w:cstheme="minorBidi"/>
      <w:sz w:val="18"/>
      <w:szCs w:val="18"/>
      <w:lang w:eastAsia="en-US"/>
    </w:rPr>
    <w:tblPr>
      <w:tblCellMar>
        <w:left w:w="0" w:type="dxa"/>
      </w:tblCellMar>
    </w:tblPr>
  </w:style>
  <w:style w:type="table" w:customStyle="1" w:styleId="AECOMtable">
    <w:name w:val="AECOM table"/>
    <w:basedOn w:val="TableNormal"/>
    <w:uiPriority w:val="99"/>
    <w:unhideWhenUsed/>
    <w:rsid w:val="000C34B5"/>
    <w:rPr>
      <w:rFonts w:asciiTheme="minorHAnsi" w:eastAsiaTheme="minorHAnsi" w:hAnsiTheme="minorHAnsi" w:cstheme="minorBid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165BAA" w:themeColor="accent1"/>
        <w:sz w:val="16"/>
      </w:rPr>
      <w:tblPr/>
      <w:tcPr>
        <w:tcBorders>
          <w:top w:val="nil"/>
          <w:left w:val="nil"/>
          <w:bottom w:val="single" w:sz="12" w:space="0" w:color="165BAA" w:themeColor="accent1"/>
          <w:right w:val="nil"/>
          <w:insideH w:val="nil"/>
          <w:insideV w:val="nil"/>
          <w:tl2br w:val="nil"/>
          <w:tr2bl w:val="nil"/>
        </w:tcBorders>
      </w:tcPr>
    </w:tblStylePr>
  </w:style>
  <w:style w:type="character" w:styleId="FollowedHyperlink">
    <w:name w:val="FollowedHyperlink"/>
    <w:basedOn w:val="DefaultParagraphFont"/>
    <w:semiHidden/>
    <w:unhideWhenUsed/>
    <w:rsid w:val="00F64A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19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gov.uk/government/publications/traded-carbon-values-used-for-modelling-purposes-2023/traded-carbon-values-used-for-modelling-purposes-2023" TargetMode="External"/><Relationship Id="rId39" Type="http://schemas.openxmlformats.org/officeDocument/2006/relationships/hyperlink" Target="https://documents.manchester.ac.uk/display.aspx?DocID=57300"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ons.gov.uk/economy/nationalaccounts/satelliteaccounts/articles/changesinthevalueanddivisionofunpaidcareworkintheuk/2015" TargetMode="External"/><Relationship Id="rId42"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gov.uk/guidance/enabling-a-natural-capital-approach-enca" TargetMode="External"/><Relationship Id="rId33" Type="http://schemas.openxmlformats.org/officeDocument/2006/relationships/hyperlink" Target="https://www.ons.gov.uk/economy/environmentalaccounts/methodologies/principlesofnaturalcapitalaccounting" TargetMode="External"/><Relationship Id="rId38" Type="http://schemas.openxmlformats.org/officeDocument/2006/relationships/hyperlink" Target="https://unstats.un.org/unsd/nationalaccount/sna25.asp"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nora.nerc.ac.uk/id/eprint/52408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ccep.ac.uk/wp-content/uploads/2016/07/Working-Paper-248-Costa-et-al.pdf" TargetMode="External"/><Relationship Id="rId32" Type="http://schemas.openxmlformats.org/officeDocument/2006/relationships/hyperlink" Target="https://publications.naturalengland.org.uk/publication/5419124441481216" TargetMode="External"/><Relationship Id="rId37" Type="http://schemas.openxmlformats.org/officeDocument/2006/relationships/hyperlink" Target="https://www.leep.exeter.ac.uk/orval/"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randd.defra.gov.uk/ProjectDetails?ProjectId=20754" TargetMode="External"/><Relationship Id="rId28" Type="http://schemas.openxmlformats.org/officeDocument/2006/relationships/hyperlink" Target="https://researchonline.lse.ac.uk/id/eprint/107931/1/Gibbons_Valuing_environmental_benefits_canals_2021.pdf" TargetMode="External"/><Relationship Id="rId36" Type="http://schemas.openxmlformats.org/officeDocument/2006/relationships/hyperlink" Target="https://www.ons.gov.uk/economy/environmentalaccounts/bulletins/uknaturalcapitalaccounts/2024"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v.uk/government/publications/natural-capital-committee-research-corporate-natural-capital-accountin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nalrivertrust.org.uk/our-cause/the-vital-connector-for-nature-and-people-report" TargetMode="External"/><Relationship Id="rId27" Type="http://schemas.openxmlformats.org/officeDocument/2006/relationships/hyperlink" Target="https://randd.defra.gov.uk/ProjectDetails?ProjectID=20065&amp;FromSearch=Y&amp;Publisher=1&amp;SearchText=urban" TargetMode="External"/><Relationship Id="rId30" Type="http://schemas.openxmlformats.org/officeDocument/2006/relationships/hyperlink" Target="https://www.cbd.int/financial/values/unitedkingdom-culturalvalues.pdf" TargetMode="External"/><Relationship Id="rId35" Type="http://schemas.openxmlformats.org/officeDocument/2006/relationships/hyperlink" Target="https://www.ons.gov.uk/economy/environmentalaccounts/bulletins/urbannaturalcapitalaccountsuk/2023"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media/6645c709bd01f5ed32793cbc/Green_Book_2022__updated_links_.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orpalen\appdata\roaming\microsoft\templates\Canal%20&amp;%20River%20Trust\Report.dotx" TargetMode="External"/></Relationships>
</file>

<file path=word/theme/theme1.xml><?xml version="1.0" encoding="utf-8"?>
<a:theme xmlns:a="http://schemas.openxmlformats.org/drawingml/2006/main" name="Office Theme">
  <a:themeElements>
    <a:clrScheme name="CRT_Colours">
      <a:dk1>
        <a:srgbClr val="797A7E"/>
      </a:dk1>
      <a:lt1>
        <a:sysClr val="window" lastClr="FFFFFF"/>
      </a:lt1>
      <a:dk2>
        <a:srgbClr val="165BAA"/>
      </a:dk2>
      <a:lt2>
        <a:srgbClr val="F2F2F2"/>
      </a:lt2>
      <a:accent1>
        <a:srgbClr val="165BAA"/>
      </a:accent1>
      <a:accent2>
        <a:srgbClr val="00B9E8"/>
      </a:accent2>
      <a:accent3>
        <a:srgbClr val="0086A6"/>
      </a:accent3>
      <a:accent4>
        <a:srgbClr val="00E05B"/>
      </a:accent4>
      <a:accent5>
        <a:srgbClr val="653184"/>
      </a:accent5>
      <a:accent6>
        <a:srgbClr val="E73339"/>
      </a:accent6>
      <a:hlink>
        <a:srgbClr val="0000FF"/>
      </a:hlink>
      <a:folHlink>
        <a:srgbClr val="800080"/>
      </a:folHlink>
    </a:clrScheme>
    <a:fontScheme name="CRT">
      <a:majorFont>
        <a:latin typeface="Modern Era Bold"/>
        <a:ea typeface=""/>
        <a:cs typeface=""/>
      </a:majorFont>
      <a:minorFont>
        <a:latin typeface="Modern E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10A968D6529F49A27D65C8479AB7CA" ma:contentTypeVersion="11" ma:contentTypeDescription="Create a new document." ma:contentTypeScope="" ma:versionID="0370ff7d99ce71c141d4c7c7dd7d1d0c">
  <xsd:schema xmlns:xsd="http://www.w3.org/2001/XMLSchema" xmlns:xs="http://www.w3.org/2001/XMLSchema" xmlns:p="http://schemas.microsoft.com/office/2006/metadata/properties" xmlns:ns3="5cfc14ab-e4c1-498f-9f4d-882d03caf606" targetNamespace="http://schemas.microsoft.com/office/2006/metadata/properties" ma:root="true" ma:fieldsID="90cb58efe8d2788bf85e32f3cb56a919" ns3:_="">
    <xsd:import namespace="5cfc14ab-e4c1-498f-9f4d-882d03caf60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c14ab-e4c1-498f-9f4d-882d03caf60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cfc14ab-e4c1-498f-9f4d-882d03caf606" xsi:nil="true"/>
  </documentManagement>
</p:properties>
</file>

<file path=customXml/itemProps1.xml><?xml version="1.0" encoding="utf-8"?>
<ds:datastoreItem xmlns:ds="http://schemas.openxmlformats.org/officeDocument/2006/customXml" ds:itemID="{1C24D944-0ADF-470B-8099-BB5F918781FC}">
  <ds:schemaRefs>
    <ds:schemaRef ds:uri="http://schemas.microsoft.com/sharepoint/v3/contenttype/forms"/>
  </ds:schemaRefs>
</ds:datastoreItem>
</file>

<file path=customXml/itemProps2.xml><?xml version="1.0" encoding="utf-8"?>
<ds:datastoreItem xmlns:ds="http://schemas.openxmlformats.org/officeDocument/2006/customXml" ds:itemID="{C026770B-5791-438D-AFD5-D4DDA2F7D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fc14ab-e4c1-498f-9f4d-882d03caf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51E5E3-2759-4053-886B-DFDD8582D89D}">
  <ds:schemaRefs>
    <ds:schemaRef ds:uri="http://schemas.openxmlformats.org/officeDocument/2006/bibliography"/>
  </ds:schemaRefs>
</ds:datastoreItem>
</file>

<file path=customXml/itemProps4.xml><?xml version="1.0" encoding="utf-8"?>
<ds:datastoreItem xmlns:ds="http://schemas.openxmlformats.org/officeDocument/2006/customXml" ds:itemID="{92096561-742E-4F4D-86E3-F7EA65FC7BB6}">
  <ds:schemaRefs>
    <ds:schemaRef ds:uri="http://schemas.microsoft.com/office/2006/metadata/properties"/>
    <ds:schemaRef ds:uri="http://schemas.microsoft.com/office/infopath/2007/PartnerControls"/>
    <ds:schemaRef ds:uri="5cfc14ab-e4c1-498f-9f4d-882d03caf606"/>
  </ds:schemaRefs>
</ds:datastoreItem>
</file>

<file path=docProps/app.xml><?xml version="1.0" encoding="utf-8"?>
<Properties xmlns="http://schemas.openxmlformats.org/officeDocument/2006/extended-properties" xmlns:vt="http://schemas.openxmlformats.org/officeDocument/2006/docPropsVTypes">
  <Template>Report</Template>
  <TotalTime>125</TotalTime>
  <Pages>20</Pages>
  <Words>5274</Words>
  <Characters>30066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British Waterways</Company>
  <LinksUpToDate>false</LinksUpToDate>
  <CharactersWithSpaces>35270</CharactersWithSpaces>
  <SharedDoc>false</SharedDoc>
  <HLinks>
    <vt:vector size="114" baseType="variant">
      <vt:variant>
        <vt:i4>6357093</vt:i4>
      </vt:variant>
      <vt:variant>
        <vt:i4>57</vt:i4>
      </vt:variant>
      <vt:variant>
        <vt:i4>0</vt:i4>
      </vt:variant>
      <vt:variant>
        <vt:i4>5</vt:i4>
      </vt:variant>
      <vt:variant>
        <vt:lpwstr>https://documents.manchester.ac.uk/display.aspx?DocID=57300</vt:lpwstr>
      </vt:variant>
      <vt:variant>
        <vt:lpwstr/>
      </vt:variant>
      <vt:variant>
        <vt:i4>5767177</vt:i4>
      </vt:variant>
      <vt:variant>
        <vt:i4>54</vt:i4>
      </vt:variant>
      <vt:variant>
        <vt:i4>0</vt:i4>
      </vt:variant>
      <vt:variant>
        <vt:i4>5</vt:i4>
      </vt:variant>
      <vt:variant>
        <vt:lpwstr>https://unstats.un.org/unsd/nationalaccount/sna25.asp</vt:lpwstr>
      </vt:variant>
      <vt:variant>
        <vt:lpwstr/>
      </vt:variant>
      <vt:variant>
        <vt:i4>1245256</vt:i4>
      </vt:variant>
      <vt:variant>
        <vt:i4>51</vt:i4>
      </vt:variant>
      <vt:variant>
        <vt:i4>0</vt:i4>
      </vt:variant>
      <vt:variant>
        <vt:i4>5</vt:i4>
      </vt:variant>
      <vt:variant>
        <vt:lpwstr>https://www.leep.exeter.ac.uk/orval/</vt:lpwstr>
      </vt:variant>
      <vt:variant>
        <vt:lpwstr/>
      </vt:variant>
      <vt:variant>
        <vt:i4>1835094</vt:i4>
      </vt:variant>
      <vt:variant>
        <vt:i4>48</vt:i4>
      </vt:variant>
      <vt:variant>
        <vt:i4>0</vt:i4>
      </vt:variant>
      <vt:variant>
        <vt:i4>5</vt:i4>
      </vt:variant>
      <vt:variant>
        <vt:lpwstr>https://www.ons.gov.uk/economy/environmentalaccounts/bulletins/uknaturalcapitalaccounts/2024</vt:lpwstr>
      </vt:variant>
      <vt:variant>
        <vt:lpwstr/>
      </vt:variant>
      <vt:variant>
        <vt:i4>5308485</vt:i4>
      </vt:variant>
      <vt:variant>
        <vt:i4>45</vt:i4>
      </vt:variant>
      <vt:variant>
        <vt:i4>0</vt:i4>
      </vt:variant>
      <vt:variant>
        <vt:i4>5</vt:i4>
      </vt:variant>
      <vt:variant>
        <vt:lpwstr>https://www.ons.gov.uk/economy/environmentalaccounts/bulletins/urbannaturalcapitalaccountsuk/2023</vt:lpwstr>
      </vt:variant>
      <vt:variant>
        <vt:lpwstr/>
      </vt:variant>
      <vt:variant>
        <vt:i4>2490426</vt:i4>
      </vt:variant>
      <vt:variant>
        <vt:i4>42</vt:i4>
      </vt:variant>
      <vt:variant>
        <vt:i4>0</vt:i4>
      </vt:variant>
      <vt:variant>
        <vt:i4>5</vt:i4>
      </vt:variant>
      <vt:variant>
        <vt:lpwstr>https://www.ons.gov.uk/economy/nationalaccounts/satelliteaccounts/articles/changesinthevalueanddivisionofunpaidcareworkintheuk/2015</vt:lpwstr>
      </vt:variant>
      <vt:variant>
        <vt:lpwstr>time-and-participation-in-formal-volunteering-in-the-uk-between-2000-and-2015</vt:lpwstr>
      </vt:variant>
      <vt:variant>
        <vt:i4>3211311</vt:i4>
      </vt:variant>
      <vt:variant>
        <vt:i4>39</vt:i4>
      </vt:variant>
      <vt:variant>
        <vt:i4>0</vt:i4>
      </vt:variant>
      <vt:variant>
        <vt:i4>5</vt:i4>
      </vt:variant>
      <vt:variant>
        <vt:lpwstr>https://www.ons.gov.uk/economy/environmentalaccounts/methodologies/principlesofnaturalcapitalaccounting</vt:lpwstr>
      </vt:variant>
      <vt:variant>
        <vt:lpwstr/>
      </vt:variant>
      <vt:variant>
        <vt:i4>5898306</vt:i4>
      </vt:variant>
      <vt:variant>
        <vt:i4>36</vt:i4>
      </vt:variant>
      <vt:variant>
        <vt:i4>0</vt:i4>
      </vt:variant>
      <vt:variant>
        <vt:i4>5</vt:i4>
      </vt:variant>
      <vt:variant>
        <vt:lpwstr>https://publications.naturalengland.org.uk/publication/5419124441481216</vt:lpwstr>
      </vt:variant>
      <vt:variant>
        <vt:lpwstr>:~:text=This%20Natural%20England%20Research%20Report,their%20condition%20and%2For%20management</vt:lpwstr>
      </vt:variant>
      <vt:variant>
        <vt:i4>2883692</vt:i4>
      </vt:variant>
      <vt:variant>
        <vt:i4>33</vt:i4>
      </vt:variant>
      <vt:variant>
        <vt:i4>0</vt:i4>
      </vt:variant>
      <vt:variant>
        <vt:i4>5</vt:i4>
      </vt:variant>
      <vt:variant>
        <vt:lpwstr>https://www.gov.uk/government/publications/natural-capital-committee-research-corporate-natural-capital-accounting</vt:lpwstr>
      </vt:variant>
      <vt:variant>
        <vt:lpwstr/>
      </vt:variant>
      <vt:variant>
        <vt:i4>6029395</vt:i4>
      </vt:variant>
      <vt:variant>
        <vt:i4>30</vt:i4>
      </vt:variant>
      <vt:variant>
        <vt:i4>0</vt:i4>
      </vt:variant>
      <vt:variant>
        <vt:i4>5</vt:i4>
      </vt:variant>
      <vt:variant>
        <vt:lpwstr>https://www.cbd.int/financial/values/unitedkingdom-culturalvalues.pdf</vt:lpwstr>
      </vt:variant>
      <vt:variant>
        <vt:lpwstr/>
      </vt:variant>
      <vt:variant>
        <vt:i4>1376322</vt:i4>
      </vt:variant>
      <vt:variant>
        <vt:i4>27</vt:i4>
      </vt:variant>
      <vt:variant>
        <vt:i4>0</vt:i4>
      </vt:variant>
      <vt:variant>
        <vt:i4>5</vt:i4>
      </vt:variant>
      <vt:variant>
        <vt:lpwstr>https://nora.nerc.ac.uk/id/eprint/524081/</vt:lpwstr>
      </vt:variant>
      <vt:variant>
        <vt:lpwstr/>
      </vt:variant>
      <vt:variant>
        <vt:i4>2293848</vt:i4>
      </vt:variant>
      <vt:variant>
        <vt:i4>24</vt:i4>
      </vt:variant>
      <vt:variant>
        <vt:i4>0</vt:i4>
      </vt:variant>
      <vt:variant>
        <vt:i4>5</vt:i4>
      </vt:variant>
      <vt:variant>
        <vt:lpwstr>https://researchonline.lse.ac.uk/id/eprint/107931/1/Gibbons_Valuing_environmental_benefits_canals_2021.pdf</vt:lpwstr>
      </vt:variant>
      <vt:variant>
        <vt:lpwstr/>
      </vt:variant>
      <vt:variant>
        <vt:i4>6619186</vt:i4>
      </vt:variant>
      <vt:variant>
        <vt:i4>21</vt:i4>
      </vt:variant>
      <vt:variant>
        <vt:i4>0</vt:i4>
      </vt:variant>
      <vt:variant>
        <vt:i4>5</vt:i4>
      </vt:variant>
      <vt:variant>
        <vt:lpwstr>https://randd.defra.gov.uk/ProjectDetails?ProjectID=20065&amp;FromSearch=Y&amp;Publisher=1&amp;SearchText=urban</vt:lpwstr>
      </vt:variant>
      <vt:variant>
        <vt:lpwstr/>
      </vt:variant>
      <vt:variant>
        <vt:i4>4128867</vt:i4>
      </vt:variant>
      <vt:variant>
        <vt:i4>18</vt:i4>
      </vt:variant>
      <vt:variant>
        <vt:i4>0</vt:i4>
      </vt:variant>
      <vt:variant>
        <vt:i4>5</vt:i4>
      </vt:variant>
      <vt:variant>
        <vt:lpwstr>https://www.gov.uk/government/publications/traded-carbon-values-used-for-modelling-purposes-2023/traded-carbon-values-used-for-modelling-purposes-2023</vt:lpwstr>
      </vt:variant>
      <vt:variant>
        <vt:lpwstr/>
      </vt:variant>
      <vt:variant>
        <vt:i4>1179654</vt:i4>
      </vt:variant>
      <vt:variant>
        <vt:i4>15</vt:i4>
      </vt:variant>
      <vt:variant>
        <vt:i4>0</vt:i4>
      </vt:variant>
      <vt:variant>
        <vt:i4>5</vt:i4>
      </vt:variant>
      <vt:variant>
        <vt:lpwstr>https://www.gov.uk/guidance/enabling-a-natural-capital-approach-enca</vt:lpwstr>
      </vt:variant>
      <vt:variant>
        <vt:lpwstr/>
      </vt:variant>
      <vt:variant>
        <vt:i4>1376327</vt:i4>
      </vt:variant>
      <vt:variant>
        <vt:i4>12</vt:i4>
      </vt:variant>
      <vt:variant>
        <vt:i4>0</vt:i4>
      </vt:variant>
      <vt:variant>
        <vt:i4>5</vt:i4>
      </vt:variant>
      <vt:variant>
        <vt:lpwstr>https://www.cccep.ac.uk/wp-content/uploads/2016/07/Working-Paper-248-Costa-et-al.pdf</vt:lpwstr>
      </vt:variant>
      <vt:variant>
        <vt:lpwstr/>
      </vt:variant>
      <vt:variant>
        <vt:i4>5898254</vt:i4>
      </vt:variant>
      <vt:variant>
        <vt:i4>9</vt:i4>
      </vt:variant>
      <vt:variant>
        <vt:i4>0</vt:i4>
      </vt:variant>
      <vt:variant>
        <vt:i4>5</vt:i4>
      </vt:variant>
      <vt:variant>
        <vt:lpwstr>https://randd.defra.gov.uk/ProjectDetails?ProjectId=20754</vt:lpwstr>
      </vt:variant>
      <vt:variant>
        <vt:lpwstr/>
      </vt:variant>
      <vt:variant>
        <vt:i4>1179725</vt:i4>
      </vt:variant>
      <vt:variant>
        <vt:i4>6</vt:i4>
      </vt:variant>
      <vt:variant>
        <vt:i4>0</vt:i4>
      </vt:variant>
      <vt:variant>
        <vt:i4>5</vt:i4>
      </vt:variant>
      <vt:variant>
        <vt:lpwstr>https://canalrivertrust.org.uk/our-cause/the-vital-connector-for-nature-and-people-report</vt:lpwstr>
      </vt:variant>
      <vt:variant>
        <vt:lpwstr/>
      </vt:variant>
      <vt:variant>
        <vt:i4>6815854</vt:i4>
      </vt:variant>
      <vt:variant>
        <vt:i4>0</vt:i4>
      </vt:variant>
      <vt:variant>
        <vt:i4>0</vt:i4>
      </vt:variant>
      <vt:variant>
        <vt:i4>5</vt:i4>
      </vt:variant>
      <vt:variant>
        <vt:lpwstr>https://assets.publishing.service.gov.uk/media/6645c709bd01f5ed32793cbc/Green_Book_2022__updated_links_.pdf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Dorpalen</dc:creator>
  <cp:keywords/>
  <cp:lastModifiedBy>Brenda Dorpalen</cp:lastModifiedBy>
  <cp:revision>5</cp:revision>
  <dcterms:created xsi:type="dcterms:W3CDTF">2026-06-29T11:14:00Z</dcterms:created>
  <dcterms:modified xsi:type="dcterms:W3CDTF">2026-06-29T15:43:00Z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neP_DocType">
    <vt:lpwstr>Report</vt:lpwstr>
  </property>
  <property fmtid="{D5CDD505-2E9C-101B-9397-08002B2CF9AE}" pid="3" name="moneP_DocVer">
    <vt:lpwstr>3.2.1</vt:lpwstr>
  </property>
  <property fmtid="{D5CDD505-2E9C-101B-9397-08002B2CF9AE}" pid="4" name="ContentTypeId">
    <vt:lpwstr>0x010100E410A968D6529F49A27D65C8479AB7CA</vt:lpwstr>
  </property>
  <property fmtid="{D5CDD505-2E9C-101B-9397-08002B2CF9AE}" pid="5" name="MediaServiceImageTags">
    <vt:lpwstr/>
  </property>
  <property fmtid="{D5CDD505-2E9C-101B-9397-08002B2CF9AE}" pid="6" name="docLang">
    <vt:lpwstr>en</vt:lpwstr>
  </property>
</Properties>
</file>