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3CC46" w14:textId="274EC520" w:rsidR="00336D17" w:rsidRDefault="00844404" w:rsidP="00491C4D">
      <w:pPr>
        <w:pStyle w:val="CRTBodyText"/>
      </w:pPr>
      <w:r w:rsidRPr="00942C27">
        <w:rPr>
          <w:rFonts w:ascii="Aptos" w:hAnsi="Aptos"/>
          <w:noProof/>
          <w:color w:val="165BAA" w:themeColor="text2"/>
          <w:spacing w:val="24"/>
          <w:kern w:val="36"/>
          <w:sz w:val="48"/>
          <w:szCs w:val="40"/>
        </w:rPr>
        <mc:AlternateContent>
          <mc:Choice Requires="wps">
            <w:drawing>
              <wp:anchor distT="45720" distB="45720" distL="114300" distR="114300" simplePos="0" relativeHeight="251660800" behindDoc="0" locked="0" layoutInCell="1" allowOverlap="1" wp14:anchorId="2A5C4487" wp14:editId="0350D471">
                <wp:simplePos x="0" y="0"/>
                <wp:positionH relativeFrom="margin">
                  <wp:align>right</wp:align>
                </wp:positionH>
                <wp:positionV relativeFrom="paragraph">
                  <wp:posOffset>1329558</wp:posOffset>
                </wp:positionV>
                <wp:extent cx="6257925" cy="1404620"/>
                <wp:effectExtent l="0" t="0" r="0" b="0"/>
                <wp:wrapSquare wrapText="bothSides"/>
                <wp:docPr id="1361210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404620"/>
                        </a:xfrm>
                        <a:prstGeom prst="rect">
                          <a:avLst/>
                        </a:prstGeom>
                        <a:noFill/>
                        <a:ln w="9525">
                          <a:noFill/>
                          <a:miter lim="800000"/>
                          <a:headEnd/>
                          <a:tailEnd/>
                        </a:ln>
                      </wps:spPr>
                      <wps:txbx>
                        <w:txbxContent>
                          <w:p w14:paraId="00B1DA10" w14:textId="73269722" w:rsidR="00942C27" w:rsidRPr="00C3126A" w:rsidRDefault="00942C27" w:rsidP="00942C27">
                            <w:pPr>
                              <w:rPr>
                                <w:rFonts w:ascii="Modern Era Bold" w:hAnsi="Modern Era Bold"/>
                                <w:color w:val="215E99"/>
                                <w:sz w:val="56"/>
                                <w:szCs w:val="56"/>
                              </w:rPr>
                            </w:pPr>
                            <w:r w:rsidRPr="00C3126A">
                              <w:rPr>
                                <w:rFonts w:ascii="Modern Era Bold" w:hAnsi="Modern Era Bold"/>
                                <w:color w:val="215E99"/>
                                <w:sz w:val="56"/>
                                <w:szCs w:val="56"/>
                              </w:rPr>
                              <w:t xml:space="preserve">Economic </w:t>
                            </w:r>
                            <w:r w:rsidR="00224E66">
                              <w:rPr>
                                <w:rFonts w:ascii="Modern Era Bold" w:hAnsi="Modern Era Bold"/>
                                <w:color w:val="215E99"/>
                                <w:sz w:val="56"/>
                                <w:szCs w:val="56"/>
                              </w:rPr>
                              <w:t>I</w:t>
                            </w:r>
                            <w:r w:rsidRPr="00C3126A">
                              <w:rPr>
                                <w:rFonts w:ascii="Modern Era Bold" w:hAnsi="Modern Era Bold"/>
                                <w:color w:val="215E99"/>
                                <w:sz w:val="56"/>
                                <w:szCs w:val="56"/>
                              </w:rPr>
                              <w:t xml:space="preserve">mpact of the </w:t>
                            </w:r>
                            <w:r w:rsidR="00780ABB" w:rsidRPr="00C3126A">
                              <w:rPr>
                                <w:rFonts w:ascii="Modern Era Bold" w:hAnsi="Modern Era Bold"/>
                                <w:color w:val="215E99"/>
                                <w:sz w:val="56"/>
                                <w:szCs w:val="56"/>
                              </w:rPr>
                              <w:t>Canal Network</w:t>
                            </w:r>
                          </w:p>
                          <w:p w14:paraId="69FA22B7" w14:textId="207B45BA" w:rsidR="004E56ED" w:rsidRPr="00C3126A" w:rsidRDefault="006C141B" w:rsidP="00942C27">
                            <w:pPr>
                              <w:rPr>
                                <w:color w:val="215E99"/>
                                <w:sz w:val="44"/>
                                <w:szCs w:val="44"/>
                              </w:rPr>
                            </w:pPr>
                            <w:r w:rsidRPr="00C3126A">
                              <w:rPr>
                                <w:color w:val="215E99"/>
                                <w:sz w:val="44"/>
                                <w:szCs w:val="44"/>
                              </w:rPr>
                              <w:t>June 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5C4487" id="_x0000_t202" coordsize="21600,21600" o:spt="202" path="m,l,21600r21600,l21600,xe">
                <v:stroke joinstyle="miter"/>
                <v:path gradientshapeok="t" o:connecttype="rect"/>
              </v:shapetype>
              <v:shape id="Text Box 2" o:spid="_x0000_s1026" type="#_x0000_t202" style="position:absolute;margin-left:441.55pt;margin-top:104.7pt;width:492.75pt;height:110.6pt;z-index:2516608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XPT+QEAAM4DAAAOAAAAZHJzL2Uyb0RvYy54bWysU8tu2zAQvBfoPxC815IN24kFy0Ga1EWB&#10;9AGk/QCaoiyiJJdd0pbSr++SchwjvRXVgVhqydmd2eH6ZrCGHRUGDa7m00nJmXISGu32Nf/xffvu&#10;mrMQhWuEAadq/qQCv9m8fbPufaVm0IFpFDICcaHqfc27GH1VFEF2yoowAa8cJVtAKyJtcV80KHpC&#10;t6aYleWy6AEbjyBVCPT3fkzyTcZvWyXj17YNKjJTc+ot5hXzuktrsVmLao/Cd1qe2hD/0IUV2lHR&#10;M9S9iIIdUP8FZbVECNDGiQRbQNtqqTIHYjMtX7F57IRXmQuJE/xZpvD/YOWX46P/hiwO72GgAWYS&#10;wT+A/BmYg7tOuL26RYS+U6KhwtMkWdH7UJ2uJqlDFRLIrv8MDQ1ZHCJkoKFFm1QhnozQaQBPZ9HV&#10;EJmkn8vZ4mo1W3AmKTedl/PlLI+lENXzdY8hflRgWQpqjjTVDC+ODyGmdkT1fCRVc7DVxuTJGsf6&#10;mq8WhP8qY3Uk4xlta35dpm+0QmL5wTX5chTajDEVMO5EOzEdOcdhN9DBRH8HzRMJgDAajB4EBR3g&#10;b856MlfNw6+DQMWZ+eRIxNV0Pk9uzJv54ooYM7zM7C4zwkmCqnnkbAzvYnZwYhT8LYm91VmGl05O&#10;vZJpsjongydXXu7zqZdnuPkDAAD//wMAUEsDBBQABgAIAAAAIQCgTZO63gAAAAgBAAAPAAAAZHJz&#10;L2Rvd25yZXYueG1sTI/BTsMwEETvSPyDtUjcqE1oSxviVBVqy7HQRj278ZJExGvLdtPw95gTHEcz&#10;mnlTrEbTswF96CxJeJwIYEi11R01Eqrj9mEBLERFWvWWUMI3BliVtzeFyrW90gcOh9iwVEIhVxLa&#10;GF3OeahbNCpMrENK3qf1RsUkfcO1V9dUbnqeCTHnRnWUFlrl8LXF+utwMRJcdLvnN79/X2+2g6hO&#10;uyrrmo2U93fj+gVYxDH+heEXP6FDmZjO9kI6sF5COhIlZGI5BZbs5WI2A3aWMH0Sc+Blwf8fKH8A&#10;AAD//wMAUEsBAi0AFAAGAAgAAAAhALaDOJL+AAAA4QEAABMAAAAAAAAAAAAAAAAAAAAAAFtDb250&#10;ZW50X1R5cGVzXS54bWxQSwECLQAUAAYACAAAACEAOP0h/9YAAACUAQAACwAAAAAAAAAAAAAAAAAv&#10;AQAAX3JlbHMvLnJlbHNQSwECLQAUAAYACAAAACEANM1z0/kBAADOAwAADgAAAAAAAAAAAAAAAAAu&#10;AgAAZHJzL2Uyb0RvYy54bWxQSwECLQAUAAYACAAAACEAoE2Tut4AAAAIAQAADwAAAAAAAAAAAAAA&#10;AABTBAAAZHJzL2Rvd25yZXYueG1sUEsFBgAAAAAEAAQA8wAAAF4FAAAAAA==&#10;" filled="f" stroked="f">
                <v:textbox style="mso-fit-shape-to-text:t">
                  <w:txbxContent>
                    <w:p w14:paraId="00B1DA10" w14:textId="73269722" w:rsidR="00942C27" w:rsidRPr="00C3126A" w:rsidRDefault="00942C27" w:rsidP="00942C27">
                      <w:pPr>
                        <w:rPr>
                          <w:rFonts w:ascii="Modern Era Bold" w:hAnsi="Modern Era Bold"/>
                          <w:color w:val="215E99"/>
                          <w:sz w:val="56"/>
                          <w:szCs w:val="56"/>
                        </w:rPr>
                      </w:pPr>
                      <w:r w:rsidRPr="00C3126A">
                        <w:rPr>
                          <w:rFonts w:ascii="Modern Era Bold" w:hAnsi="Modern Era Bold"/>
                          <w:color w:val="215E99"/>
                          <w:sz w:val="56"/>
                          <w:szCs w:val="56"/>
                        </w:rPr>
                        <w:t xml:space="preserve">Economic </w:t>
                      </w:r>
                      <w:r w:rsidR="00224E66">
                        <w:rPr>
                          <w:rFonts w:ascii="Modern Era Bold" w:hAnsi="Modern Era Bold"/>
                          <w:color w:val="215E99"/>
                          <w:sz w:val="56"/>
                          <w:szCs w:val="56"/>
                        </w:rPr>
                        <w:t>I</w:t>
                      </w:r>
                      <w:r w:rsidRPr="00C3126A">
                        <w:rPr>
                          <w:rFonts w:ascii="Modern Era Bold" w:hAnsi="Modern Era Bold"/>
                          <w:color w:val="215E99"/>
                          <w:sz w:val="56"/>
                          <w:szCs w:val="56"/>
                        </w:rPr>
                        <w:t xml:space="preserve">mpact of the </w:t>
                      </w:r>
                      <w:r w:rsidR="00780ABB" w:rsidRPr="00C3126A">
                        <w:rPr>
                          <w:rFonts w:ascii="Modern Era Bold" w:hAnsi="Modern Era Bold"/>
                          <w:color w:val="215E99"/>
                          <w:sz w:val="56"/>
                          <w:szCs w:val="56"/>
                        </w:rPr>
                        <w:t>Canal Network</w:t>
                      </w:r>
                    </w:p>
                    <w:p w14:paraId="69FA22B7" w14:textId="207B45BA" w:rsidR="004E56ED" w:rsidRPr="00C3126A" w:rsidRDefault="006C141B" w:rsidP="00942C27">
                      <w:pPr>
                        <w:rPr>
                          <w:color w:val="215E99"/>
                          <w:sz w:val="44"/>
                          <w:szCs w:val="44"/>
                        </w:rPr>
                      </w:pPr>
                      <w:r w:rsidRPr="00C3126A">
                        <w:rPr>
                          <w:color w:val="215E99"/>
                          <w:sz w:val="44"/>
                          <w:szCs w:val="44"/>
                        </w:rPr>
                        <w:t>June 2026</w:t>
                      </w:r>
                    </w:p>
                  </w:txbxContent>
                </v:textbox>
                <w10:wrap type="square" anchorx="margin"/>
              </v:shape>
            </w:pict>
          </mc:Fallback>
        </mc:AlternateContent>
      </w:r>
      <w:r w:rsidR="00C924D2">
        <w:rPr>
          <w:rFonts w:asciiTheme="majorHAnsi" w:hAnsiTheme="majorHAnsi"/>
          <w:noProof/>
          <w:color w:val="165BAA" w:themeColor="text2"/>
          <w:spacing w:val="24"/>
          <w:kern w:val="36"/>
          <w:sz w:val="48"/>
          <w:szCs w:val="40"/>
        </w:rPr>
        <w:drawing>
          <wp:anchor distT="0" distB="0" distL="114300" distR="114300" simplePos="0" relativeHeight="251659776" behindDoc="1" locked="0" layoutInCell="1" allowOverlap="1" wp14:anchorId="408ACBFD" wp14:editId="33A83928">
            <wp:simplePos x="0" y="0"/>
            <wp:positionH relativeFrom="margin">
              <wp:align>center</wp:align>
            </wp:positionH>
            <wp:positionV relativeFrom="paragraph">
              <wp:posOffset>-438801</wp:posOffset>
            </wp:positionV>
            <wp:extent cx="7532370" cy="10654665"/>
            <wp:effectExtent l="0" t="0" r="0" b="0"/>
            <wp:wrapNone/>
            <wp:docPr id="2117862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862713" name="Picture 21178627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32370" cy="10654665"/>
                    </a:xfrm>
                    <a:prstGeom prst="rect">
                      <a:avLst/>
                    </a:prstGeom>
                  </pic:spPr>
                </pic:pic>
              </a:graphicData>
            </a:graphic>
            <wp14:sizeRelH relativeFrom="page">
              <wp14:pctWidth>0</wp14:pctWidth>
            </wp14:sizeRelH>
            <wp14:sizeRelV relativeFrom="page">
              <wp14:pctHeight>0</wp14:pctHeight>
            </wp14:sizeRelV>
          </wp:anchor>
        </w:drawing>
      </w:r>
      <w:r w:rsidR="00336D17">
        <w:br w:type="page"/>
      </w:r>
    </w:p>
    <w:p w14:paraId="6D706C4C" w14:textId="77777777" w:rsidR="00D878E0" w:rsidRDefault="00D878E0" w:rsidP="00445FEE">
      <w:pPr>
        <w:pStyle w:val="Heading1"/>
      </w:pPr>
      <w:r>
        <w:lastRenderedPageBreak/>
        <w:t>Contents</w:t>
      </w:r>
    </w:p>
    <w:p w14:paraId="0CF79BC5" w14:textId="69201C94" w:rsidR="00D878E0" w:rsidRDefault="00D878E0" w:rsidP="00E25697">
      <w:pPr>
        <w:pStyle w:val="TOC1"/>
        <w:rPr>
          <w:rFonts w:ascii="Times New Roman" w:hAnsi="Times New Roman"/>
          <w:b/>
          <w:noProof/>
          <w:sz w:val="24"/>
          <w:lang w:eastAsia="en-GB"/>
        </w:rPr>
      </w:pPr>
      <w:r>
        <w:rPr>
          <w:b/>
          <w:sz w:val="22"/>
        </w:rPr>
        <w:fldChar w:fldCharType="begin"/>
      </w:r>
      <w:r>
        <w:instrText xml:space="preserve"> TOC \z \t "BWW_HeadingOne,1,BWW_HeadingTwo,2,BWW_HeadingThree,3" </w:instrText>
      </w:r>
      <w:r>
        <w:rPr>
          <w:b/>
          <w:sz w:val="22"/>
        </w:rPr>
        <w:fldChar w:fldCharType="separate"/>
      </w:r>
      <w:r w:rsidR="00BB06A5">
        <w:rPr>
          <w:noProof/>
        </w:rPr>
        <w:t>Introduction</w:t>
      </w:r>
      <w:r>
        <w:rPr>
          <w:noProof/>
          <w:webHidden/>
        </w:rPr>
        <w:tab/>
      </w:r>
      <w:r w:rsidR="00D35F76">
        <w:rPr>
          <w:noProof/>
          <w:webHidden/>
        </w:rPr>
        <w:t>2</w:t>
      </w:r>
    </w:p>
    <w:p w14:paraId="407B599B" w14:textId="21AD9224" w:rsidR="00D878E0" w:rsidRDefault="00D35F76" w:rsidP="00E25697">
      <w:pPr>
        <w:pStyle w:val="TOC1"/>
        <w:rPr>
          <w:rFonts w:ascii="Times New Roman" w:hAnsi="Times New Roman"/>
          <w:b/>
          <w:noProof/>
          <w:sz w:val="24"/>
          <w:lang w:eastAsia="en-GB"/>
        </w:rPr>
      </w:pPr>
      <w:r>
        <w:rPr>
          <w:noProof/>
        </w:rPr>
        <w:t>Methodology</w:t>
      </w:r>
      <w:r w:rsidR="001367D9">
        <w:rPr>
          <w:noProof/>
        </w:rPr>
        <w:t xml:space="preserve"> and Definitions</w:t>
      </w:r>
      <w:r w:rsidR="00D878E0">
        <w:rPr>
          <w:noProof/>
          <w:webHidden/>
        </w:rPr>
        <w:tab/>
      </w:r>
      <w:r w:rsidR="002A7CC3">
        <w:rPr>
          <w:noProof/>
          <w:webHidden/>
        </w:rPr>
        <w:t>3</w:t>
      </w:r>
    </w:p>
    <w:p w14:paraId="572959C9" w14:textId="777363CB" w:rsidR="00D878E0" w:rsidRDefault="00554DA5" w:rsidP="00E25697">
      <w:pPr>
        <w:pStyle w:val="TOC1"/>
        <w:rPr>
          <w:rFonts w:ascii="Times New Roman" w:hAnsi="Times New Roman"/>
          <w:b/>
          <w:noProof/>
          <w:sz w:val="24"/>
          <w:lang w:eastAsia="en-GB"/>
        </w:rPr>
      </w:pPr>
      <w:r>
        <w:rPr>
          <w:noProof/>
        </w:rPr>
        <w:t xml:space="preserve">Key </w:t>
      </w:r>
      <w:r w:rsidR="00555D72">
        <w:rPr>
          <w:noProof/>
        </w:rPr>
        <w:t>National</w:t>
      </w:r>
      <w:r>
        <w:rPr>
          <w:noProof/>
        </w:rPr>
        <w:t xml:space="preserve"> Findings</w:t>
      </w:r>
      <w:r w:rsidR="00D878E0">
        <w:rPr>
          <w:noProof/>
          <w:webHidden/>
        </w:rPr>
        <w:tab/>
      </w:r>
      <w:r w:rsidR="00D35F76">
        <w:rPr>
          <w:noProof/>
          <w:webHidden/>
        </w:rPr>
        <w:t>5</w:t>
      </w:r>
    </w:p>
    <w:p w14:paraId="74A18752" w14:textId="255CB198" w:rsidR="00555D72" w:rsidRDefault="00D878E0" w:rsidP="00E25697">
      <w:pPr>
        <w:pStyle w:val="TOC1"/>
        <w:rPr>
          <w:noProof/>
          <w:webHidden/>
        </w:rPr>
      </w:pPr>
      <w:r>
        <w:fldChar w:fldCharType="end"/>
      </w:r>
      <w:r w:rsidR="00555D72">
        <w:rPr>
          <w:noProof/>
        </w:rPr>
        <w:t>Key Regional Findings</w:t>
      </w:r>
      <w:r w:rsidR="00555D72">
        <w:rPr>
          <w:noProof/>
          <w:webHidden/>
        </w:rPr>
        <w:tab/>
      </w:r>
      <w:r w:rsidR="00E33A2C">
        <w:rPr>
          <w:noProof/>
          <w:webHidden/>
        </w:rPr>
        <w:t xml:space="preserve"> </w:t>
      </w:r>
      <w:r w:rsidR="002A7CC3">
        <w:rPr>
          <w:noProof/>
          <w:webHidden/>
        </w:rPr>
        <w:t>9</w:t>
      </w:r>
    </w:p>
    <w:p w14:paraId="0428E58F" w14:textId="5A57BEE4" w:rsidR="007C56CA" w:rsidRPr="00EA21FF" w:rsidRDefault="007C56CA" w:rsidP="00FA1EFB">
      <w:pPr>
        <w:pStyle w:val="TOC1"/>
        <w:rPr>
          <w:rFonts w:ascii="Modern Era Bold (Bold)" w:hAnsi="Modern Era Bold (Bold)"/>
        </w:rPr>
      </w:pPr>
      <w:r w:rsidRPr="00FA1EFB">
        <w:t xml:space="preserve">International Tourism </w:t>
      </w:r>
      <w:r w:rsidR="00EA21FF" w:rsidRPr="00FA1EFB">
        <w:t>on the Towpath</w:t>
      </w:r>
      <w:r w:rsidRPr="00FA1EFB">
        <w:t xml:space="preserve">                                                                                                      </w:t>
      </w:r>
      <w:r w:rsidR="00E33A2C" w:rsidRPr="00FA1EFB">
        <w:t xml:space="preserve"> </w:t>
      </w:r>
      <w:r w:rsidR="00E87146">
        <w:rPr>
          <w:noProof/>
        </w:rPr>
        <w:t xml:space="preserve">       </w:t>
      </w:r>
      <w:r w:rsidR="002A7CC3">
        <w:rPr>
          <w:noProof/>
        </w:rPr>
        <w:t>12</w:t>
      </w:r>
      <w:r w:rsidRPr="00EA21FF">
        <w:rPr>
          <w:rFonts w:ascii="Modern Era Bold (Bold)" w:hAnsi="Modern Era Bold (Bold)"/>
          <w:b/>
        </w:rPr>
        <w:t xml:space="preserve">                           </w:t>
      </w:r>
    </w:p>
    <w:p w14:paraId="237D8A74" w14:textId="6EBACB41" w:rsidR="00FB1A76" w:rsidRDefault="00FB1A76">
      <w:pPr>
        <w:pStyle w:val="TOC1"/>
        <w:rPr>
          <w:kern w:val="2"/>
          <w:szCs w:val="20"/>
          <w14:ligatures w14:val="standardContextual"/>
        </w:rPr>
      </w:pPr>
      <w:r>
        <w:t xml:space="preserve">Appendix: Detailed Results Tables  </w:t>
      </w:r>
      <w:r w:rsidR="008C6518">
        <w:t xml:space="preserve">                                                                                                                  </w:t>
      </w:r>
      <w:r>
        <w:t>1</w:t>
      </w:r>
      <w:r w:rsidR="002A7CC3">
        <w:t>4</w:t>
      </w:r>
    </w:p>
    <w:p w14:paraId="3257BFC7" w14:textId="3CDA2FB5" w:rsidR="00D878E0" w:rsidRPr="00667563" w:rsidRDefault="007C4354" w:rsidP="00A35AA1">
      <w:pPr>
        <w:pStyle w:val="Heading1"/>
      </w:pPr>
      <w:r>
        <w:t>Introduction</w:t>
      </w:r>
    </w:p>
    <w:p w14:paraId="3CE28E97" w14:textId="348B3167" w:rsidR="00660B74" w:rsidRDefault="000D7A46">
      <w:pPr>
        <w:jc w:val="both"/>
      </w:pPr>
      <w:r>
        <w:t>The Canal &amp; River</w:t>
      </w:r>
      <w:r w:rsidR="007A71B7">
        <w:t xml:space="preserve"> Trust</w:t>
      </w:r>
      <w:r>
        <w:t xml:space="preserve"> is the charity responsible for the management and upkeep of approximately 2,000 miles of canals </w:t>
      </w:r>
      <w:r w:rsidR="00566329">
        <w:t xml:space="preserve">and towpaths, navigable </w:t>
      </w:r>
      <w:r>
        <w:t>rivers</w:t>
      </w:r>
      <w:r w:rsidR="00566329">
        <w:t>, docks, and reservoirs</w:t>
      </w:r>
      <w:r>
        <w:t xml:space="preserve"> across England and Wales. </w:t>
      </w:r>
      <w:r w:rsidR="008165C7">
        <w:t xml:space="preserve">The canal </w:t>
      </w:r>
      <w:r>
        <w:t>network includes 2,9</w:t>
      </w:r>
      <w:r w:rsidR="00FE4407">
        <w:t>63</w:t>
      </w:r>
      <w:r>
        <w:t xml:space="preserve"> bridges, 1,5</w:t>
      </w:r>
      <w:r w:rsidR="003D7F7E">
        <w:t>75</w:t>
      </w:r>
      <w:r>
        <w:t xml:space="preserve"> locks, 27</w:t>
      </w:r>
      <w:r w:rsidR="003D7F7E">
        <w:t>6</w:t>
      </w:r>
      <w:r>
        <w:t xml:space="preserve"> aqueducts and </w:t>
      </w:r>
      <w:r w:rsidR="00C217E6">
        <w:t xml:space="preserve">thousands </w:t>
      </w:r>
      <w:r>
        <w:t xml:space="preserve">of miles of towpaths, which provide important spaces for leisure activities such as walking and cycling. </w:t>
      </w:r>
    </w:p>
    <w:p w14:paraId="017735A7" w14:textId="3CD137A5" w:rsidR="000D7A46" w:rsidRDefault="000D7A46">
      <w:pPr>
        <w:jc w:val="both"/>
        <w:rPr>
          <w:kern w:val="2"/>
          <w14:ligatures w14:val="standardContextual"/>
        </w:rPr>
      </w:pPr>
      <w:r>
        <w:t xml:space="preserve">These assets generate economic value in several ways. First, their upkeep and maintenance involve significant expenditure, supporting economic activity among the individuals and businesses responsible. Second, </w:t>
      </w:r>
      <w:r w:rsidR="00C55E7A">
        <w:t>they</w:t>
      </w:r>
      <w:r>
        <w:t xml:space="preserve"> support a variety of wider economic activity, including boating </w:t>
      </w:r>
      <w:r w:rsidR="005060FA">
        <w:t xml:space="preserve">activity </w:t>
      </w:r>
      <w:r>
        <w:t xml:space="preserve">and recreational activity along towpaths, with associated contributions to the economy. The </w:t>
      </w:r>
      <w:r w:rsidR="00C3126A">
        <w:t>Canal &amp; River Trust</w:t>
      </w:r>
      <w:r>
        <w:t>’s waterways therefore function not only as public amenities but also as vital infrastructure that supports jobs, spending and economic activity across multiple channels.</w:t>
      </w:r>
    </w:p>
    <w:p w14:paraId="41DFACF6" w14:textId="530DF8FD" w:rsidR="000D7A46" w:rsidRDefault="000D7A46">
      <w:pPr>
        <w:pStyle w:val="CRTBodyText"/>
        <w:jc w:val="both"/>
        <w:rPr>
          <w:kern w:val="2"/>
          <w:szCs w:val="20"/>
          <w14:ligatures w14:val="standardContextual"/>
        </w:rPr>
      </w:pPr>
      <w:r>
        <w:t xml:space="preserve">The Canal &amp; River </w:t>
      </w:r>
      <w:r w:rsidR="007A71B7">
        <w:t xml:space="preserve">Trust </w:t>
      </w:r>
      <w:r>
        <w:t xml:space="preserve">aims to capture the long-term social value delivered by its assets through a multidimensional approach. This report focuses on the economic contribution of the </w:t>
      </w:r>
      <w:r w:rsidR="00C3126A">
        <w:t>Canal &amp; River Trust</w:t>
      </w:r>
      <w:r w:rsidR="004F62E8">
        <w:t>’s canal network</w:t>
      </w:r>
      <w:r>
        <w:t xml:space="preserve">, assessed through measures of Gross Value Added (GVA) and Full-Time Equivalent (FTE) employment, as well as the wider indirect and induced impacts generated by </w:t>
      </w:r>
      <w:r w:rsidR="00C3126A">
        <w:t>Canal &amp; River Trust</w:t>
      </w:r>
      <w:r>
        <w:t>-linked activity in England and Wales in 2022.</w:t>
      </w:r>
    </w:p>
    <w:p w14:paraId="5C7269F3" w14:textId="0C56A672" w:rsidR="000D7A46" w:rsidRDefault="000D7A46">
      <w:pPr>
        <w:pStyle w:val="CRTBodyText"/>
        <w:jc w:val="both"/>
        <w:rPr>
          <w:kern w:val="2"/>
          <w:szCs w:val="20"/>
          <w14:ligatures w14:val="standardContextual"/>
        </w:rPr>
      </w:pPr>
      <w:r>
        <w:t xml:space="preserve">This is not the first time that the Canal &amp; River </w:t>
      </w:r>
      <w:r w:rsidR="007A71B7">
        <w:t>Trust</w:t>
      </w:r>
      <w:r>
        <w:t xml:space="preserve"> has estimated the economic impact of </w:t>
      </w:r>
      <w:r w:rsidR="001919CD">
        <w:t xml:space="preserve">its </w:t>
      </w:r>
      <w:r w:rsidR="00921A6C">
        <w:t xml:space="preserve">waterway </w:t>
      </w:r>
      <w:r w:rsidR="001919CD">
        <w:t>network</w:t>
      </w:r>
      <w:r>
        <w:t xml:space="preserve">. The </w:t>
      </w:r>
      <w:r>
        <w:rPr>
          <w:i/>
          <w:iCs/>
        </w:rPr>
        <w:t>Valuing Our Waterways</w:t>
      </w:r>
      <w:r>
        <w:t xml:space="preserve"> report highlighted that </w:t>
      </w:r>
      <w:r w:rsidR="006C4A44">
        <w:t xml:space="preserve">the </w:t>
      </w:r>
      <w:r w:rsidR="00C3126A">
        <w:t>Canal &amp; River Trust</w:t>
      </w:r>
      <w:r w:rsidR="006C4A44">
        <w:t xml:space="preserve">’s waterways </w:t>
      </w:r>
      <w:r w:rsidR="00FC5C80">
        <w:t>made a</w:t>
      </w:r>
      <w:r w:rsidR="006C4A44">
        <w:t xml:space="preserve"> </w:t>
      </w:r>
      <w:r>
        <w:t xml:space="preserve">direct and indirect contribution to UK GVA </w:t>
      </w:r>
      <w:r w:rsidR="00FC5C80">
        <w:t>of</w:t>
      </w:r>
      <w:r w:rsidR="00282E02">
        <w:t xml:space="preserve"> </w:t>
      </w:r>
      <w:r w:rsidR="000A3657" w:rsidRPr="003679EA">
        <w:t>£</w:t>
      </w:r>
      <w:r w:rsidR="00282E02">
        <w:t>1.5 billion in 2018/19</w:t>
      </w:r>
      <w:r w:rsidR="00FC5C80">
        <w:t xml:space="preserve">. </w:t>
      </w:r>
      <w:r w:rsidR="00FC5C80">
        <w:rPr>
          <w:lang w:val="en-US"/>
        </w:rPr>
        <w:t>W</w:t>
      </w:r>
      <w:r w:rsidRPr="00F66E67">
        <w:rPr>
          <w:lang w:val="en-US"/>
        </w:rPr>
        <w:t>hen updated to 202</w:t>
      </w:r>
      <w:r w:rsidR="000E3E1F">
        <w:rPr>
          <w:lang w:val="en-US"/>
        </w:rPr>
        <w:t>2</w:t>
      </w:r>
      <w:r w:rsidRPr="00F66E67">
        <w:rPr>
          <w:lang w:val="en-US"/>
        </w:rPr>
        <w:t xml:space="preserve"> prices, </w:t>
      </w:r>
      <w:r w:rsidR="00FC5C80">
        <w:rPr>
          <w:lang w:val="en-US"/>
        </w:rPr>
        <w:t xml:space="preserve">this </w:t>
      </w:r>
      <w:r w:rsidRPr="00F66E67">
        <w:rPr>
          <w:lang w:val="en-US"/>
        </w:rPr>
        <w:t>w</w:t>
      </w:r>
      <w:r w:rsidR="0018234F" w:rsidRPr="00F66E67">
        <w:rPr>
          <w:lang w:val="en-US"/>
        </w:rPr>
        <w:t xml:space="preserve">ould be equivalent </w:t>
      </w:r>
      <w:r w:rsidR="00D84B51" w:rsidRPr="00F66E67">
        <w:rPr>
          <w:lang w:val="en-US"/>
        </w:rPr>
        <w:t>to</w:t>
      </w:r>
      <w:r w:rsidR="000A3657">
        <w:rPr>
          <w:lang w:val="en-US"/>
        </w:rPr>
        <w:t xml:space="preserve"> </w:t>
      </w:r>
      <w:r w:rsidR="000A3657" w:rsidRPr="003679EA">
        <w:t>£1.</w:t>
      </w:r>
      <w:r w:rsidR="000E3E1F">
        <w:t>7</w:t>
      </w:r>
      <w:r w:rsidR="000A3657" w:rsidRPr="003679EA">
        <w:t xml:space="preserve"> billio</w:t>
      </w:r>
      <w:r w:rsidR="003679EA" w:rsidRPr="003679EA">
        <w:t xml:space="preserve">n. </w:t>
      </w:r>
      <w:r w:rsidRPr="00D84B51">
        <w:t>However, these previous estimates were focused on the boating economy.</w:t>
      </w:r>
      <w:r w:rsidR="00320815">
        <w:t xml:space="preserve"> </w:t>
      </w:r>
    </w:p>
    <w:p w14:paraId="34BB768B" w14:textId="127C1689" w:rsidR="008D32F9" w:rsidRDefault="00412FA6">
      <w:pPr>
        <w:pStyle w:val="CRTBodyText"/>
        <w:jc w:val="both"/>
      </w:pPr>
      <w:r>
        <w:t>These new</w:t>
      </w:r>
      <w:r w:rsidR="000D7A46">
        <w:t xml:space="preserve"> estimates </w:t>
      </w:r>
      <w:r w:rsidR="00E10177">
        <w:t>include</w:t>
      </w:r>
      <w:r w:rsidRPr="00412FA6">
        <w:t xml:space="preserve"> </w:t>
      </w:r>
      <w:r>
        <w:t>the</w:t>
      </w:r>
      <w:r w:rsidR="00E10177">
        <w:t xml:space="preserve"> economic impact of the</w:t>
      </w:r>
      <w:r w:rsidR="00DC5E59">
        <w:t xml:space="preserve"> domestic and international</w:t>
      </w:r>
      <w:r>
        <w:t xml:space="preserve"> towpath visitor economy and construction and maintenance activity, in addition to the</w:t>
      </w:r>
      <w:r w:rsidR="000D7A46">
        <w:t xml:space="preserve"> boating </w:t>
      </w:r>
      <w:r w:rsidR="00E10177">
        <w:t>economy</w:t>
      </w:r>
      <w:r w:rsidR="00612532">
        <w:t xml:space="preserve">. </w:t>
      </w:r>
      <w:r w:rsidR="000D7A46">
        <w:t>The towpath visitor economy accounts for 57% of the GVA associated with</w:t>
      </w:r>
      <w:r w:rsidR="001919CD">
        <w:t xml:space="preserve"> the canal network</w:t>
      </w:r>
      <w:r w:rsidR="000D7A46">
        <w:t xml:space="preserve"> and 35% of employment. Its inclusion therefore changes the overall picture of the analysis. </w:t>
      </w:r>
    </w:p>
    <w:p w14:paraId="4658E539" w14:textId="76C0D38E" w:rsidR="00FB1A76" w:rsidRDefault="00FB1A76">
      <w:pPr>
        <w:jc w:val="both"/>
        <w:rPr>
          <w:kern w:val="2"/>
          <w14:ligatures w14:val="standardContextual"/>
        </w:rPr>
      </w:pPr>
      <w:r>
        <w:t xml:space="preserve">Across all three channels, the </w:t>
      </w:r>
      <w:r w:rsidR="00C3126A">
        <w:t>Canal &amp; River Trust</w:t>
      </w:r>
      <w:r>
        <w:t>’s waterways directly contributed £5.1 billion in GVA and supported 150,400 FTE jobs in 2022. This contribution is comparable in scale to that of the event catering and food service activities sector. Although the waterways generated almost £2 billion less GVA than the travel agency activities sector, they supported around 115,000 more FTE jobs. This indicates that the economic activity associated with the waterways, particularly that linked to the boating economy, is labour-intensive, generating substantial employment relative to its GVA contribution. These comparisons show that, while the canal network is not an economic “sector”, the combined activities it supports represent a substantial source of economic value.</w:t>
      </w:r>
    </w:p>
    <w:p w14:paraId="2C4C6736" w14:textId="12C013DC" w:rsidR="000D7A46" w:rsidRDefault="000D7A46">
      <w:pPr>
        <w:jc w:val="both"/>
        <w:rPr>
          <w:kern w:val="2"/>
          <w14:ligatures w14:val="standardContextual"/>
        </w:rPr>
      </w:pPr>
      <w:r>
        <w:t xml:space="preserve">In terms of economic impact per canal mile across regions, London &amp; South East and Wales &amp; South West emerge as the most productive regions. This high productivity per canal mile is largely because these regions contain a relatively small share of </w:t>
      </w:r>
      <w:r w:rsidR="00C3126A">
        <w:t>Canal &amp; River Trust</w:t>
      </w:r>
      <w:r>
        <w:t xml:space="preserve">-managed waterways mileage while still generating sizeable GVA and employment contributions. However, while London </w:t>
      </w:r>
      <w:r w:rsidR="006E2483">
        <w:t>&amp;</w:t>
      </w:r>
      <w:r>
        <w:t xml:space="preserve"> South East account</w:t>
      </w:r>
      <w:r w:rsidR="006E2483">
        <w:t>s</w:t>
      </w:r>
      <w:r>
        <w:t xml:space="preserve"> for a relatively high proportion of total waterway GVA, this is broadly in line with the overall scale of </w:t>
      </w:r>
      <w:r w:rsidR="004648BB">
        <w:t xml:space="preserve">the </w:t>
      </w:r>
      <w:r>
        <w:t>regional econom</w:t>
      </w:r>
      <w:r w:rsidR="004648BB">
        <w:t>y</w:t>
      </w:r>
      <w:r>
        <w:t xml:space="preserve">. In contrast, regions such as the North West and West Midlands support a larger share of waterway-related GVA than would be expected based on their share of the UK economy. This indicates that waterways play a </w:t>
      </w:r>
      <w:r>
        <w:lastRenderedPageBreak/>
        <w:t>more economically significant role in these regions, reflecting their historic concentration of canal infrastructure and the way waterways are embedded in local visitor economies and patterns of everyday use.</w:t>
      </w:r>
    </w:p>
    <w:p w14:paraId="33179687" w14:textId="2D395481" w:rsidR="006456EE" w:rsidRPr="00A16FC7" w:rsidRDefault="000D7A46">
      <w:pPr>
        <w:pStyle w:val="CRTBodyText"/>
        <w:jc w:val="both"/>
      </w:pPr>
      <w:r>
        <w:t xml:space="preserve">For every £1 of GVA directly generated by activity along </w:t>
      </w:r>
      <w:r w:rsidR="00A743F3">
        <w:t xml:space="preserve">the </w:t>
      </w:r>
      <w:r w:rsidR="00C3126A">
        <w:t>Canal &amp; River Trust</w:t>
      </w:r>
      <w:r w:rsidR="00A743F3">
        <w:t>’s canal network</w:t>
      </w:r>
      <w:r>
        <w:t xml:space="preserve">, </w:t>
      </w:r>
      <w:r w:rsidRPr="00FA1EFB">
        <w:t>a further £0.49 of GVA</w:t>
      </w:r>
      <w:r>
        <w:t xml:space="preserve"> is supported in upstream supply chains. In addition, a further </w:t>
      </w:r>
      <w:r w:rsidRPr="00FA1EFB">
        <w:t>£0.81 of GVA</w:t>
      </w:r>
      <w:r>
        <w:t xml:space="preserve"> is supported when employees linked to canal activity and its supply chains spend their earnings in the wider economy. This means that a total of </w:t>
      </w:r>
      <w:r w:rsidRPr="00FA1EFB">
        <w:t>£2.31 of GVA is supported</w:t>
      </w:r>
      <w:r>
        <w:t xml:space="preserve"> for every £1 of GVA directly generated by activities along</w:t>
      </w:r>
      <w:r w:rsidR="000D362B">
        <w:t xml:space="preserve"> the</w:t>
      </w:r>
      <w:r>
        <w:t xml:space="preserve"> </w:t>
      </w:r>
      <w:r w:rsidR="00C3126A">
        <w:t>Canal &amp; River Trust</w:t>
      </w:r>
      <w:r w:rsidR="000D362B">
        <w:t>’s canal network</w:t>
      </w:r>
      <w:r>
        <w:t xml:space="preserve">. </w:t>
      </w:r>
    </w:p>
    <w:p w14:paraId="23686C46" w14:textId="50AC7FC3" w:rsidR="00DF3A9D" w:rsidRPr="00DF3A9D" w:rsidRDefault="00DF3A9D" w:rsidP="00DF3A9D">
      <w:pPr>
        <w:pStyle w:val="CRTBodyText"/>
        <w:jc w:val="both"/>
      </w:pPr>
      <w:r w:rsidRPr="00DF3A9D">
        <w:t xml:space="preserve">For every one FTE job directly supported by activity along the </w:t>
      </w:r>
      <w:r w:rsidR="00C3126A">
        <w:t>Canal &amp; River Trust</w:t>
      </w:r>
      <w:r w:rsidRPr="00DF3A9D">
        <w:t>’s canal network, a further 0.23 FTE jobs are supported through indirect effects and 0.30 FTE jobs through induced effects. Consequently, each directly supported FTE job generates a total employment footprint of 1.53 FTE jobs across the wider economy.</w:t>
      </w:r>
      <w:r w:rsidR="00FB1F45">
        <w:t xml:space="preserve"> </w:t>
      </w:r>
      <w:r w:rsidRPr="00DF3A9D">
        <w:t xml:space="preserve">In relative terms, the indirect and induced effects are more pronounced in economic output than in employment. </w:t>
      </w:r>
    </w:p>
    <w:p w14:paraId="274B115B" w14:textId="70B1326A" w:rsidR="000D7A46" w:rsidRPr="00FB1F45" w:rsidRDefault="00F638CB">
      <w:pPr>
        <w:pStyle w:val="CRTBodyText"/>
        <w:jc w:val="both"/>
        <w:rPr>
          <w:b/>
          <w:bCs/>
        </w:rPr>
      </w:pPr>
      <w:r>
        <w:t xml:space="preserve">To enable the inclusion of international visits to the towpath alongside </w:t>
      </w:r>
      <w:r w:rsidR="000D7A46">
        <w:t xml:space="preserve">domestic towpath visits, </w:t>
      </w:r>
      <w:r w:rsidR="005D42C0">
        <w:t xml:space="preserve">we </w:t>
      </w:r>
      <w:r w:rsidR="00FB1F45">
        <w:t xml:space="preserve">adapted an innovative technique from the article </w:t>
      </w:r>
      <w:r w:rsidR="00FB1F45" w:rsidRPr="00FB1F45">
        <w:rPr>
          <w:i/>
          <w:iCs/>
        </w:rPr>
        <w:t>Putting the periphery on the map: Tourism activity measured with big data</w:t>
      </w:r>
      <w:r w:rsidR="00FB1F45">
        <w:rPr>
          <w:i/>
          <w:iCs/>
        </w:rPr>
        <w:t xml:space="preserve"> </w:t>
      </w:r>
      <w:r w:rsidR="00FB1F45">
        <w:t xml:space="preserve">by Borowiecki et al published in the peer-reviewed journal </w:t>
      </w:r>
      <w:r w:rsidR="00FB1F45" w:rsidRPr="00FB1F45">
        <w:rPr>
          <w:i/>
          <w:iCs/>
        </w:rPr>
        <w:t>Tourism Economics</w:t>
      </w:r>
      <w:r w:rsidR="00FB1F45">
        <w:t xml:space="preserve"> in 2025</w:t>
      </w:r>
      <w:r w:rsidR="000D7A46" w:rsidRPr="00FB1F45">
        <w:rPr>
          <w:i/>
          <w:iCs/>
        </w:rPr>
        <w:t>.</w:t>
      </w:r>
      <w:r w:rsidR="000D7A46">
        <w:t xml:space="preserve"> </w:t>
      </w:r>
      <w:r w:rsidR="005A26E9">
        <w:t>International towpath visits</w:t>
      </w:r>
      <w:r w:rsidR="000D7A46">
        <w:t xml:space="preserve"> account for 10.5 million visits a year, mainly from the United States (22.5%), Australia (16.3%), Canada (7.7%), Spain (4.6%) and New Zealand (4.2%).</w:t>
      </w:r>
    </w:p>
    <w:p w14:paraId="7668B10D" w14:textId="0ACE0B33" w:rsidR="00FB1A76" w:rsidRDefault="00FB1A76">
      <w:pPr>
        <w:jc w:val="both"/>
      </w:pPr>
      <w:r>
        <w:t>We would like to thank British Marine for providing the data on the boating economy.</w:t>
      </w:r>
      <w:r w:rsidR="00C3126A">
        <w:t xml:space="preserve"> We would also like to thank the Centre for Economics and Business Research</w:t>
      </w:r>
      <w:r w:rsidR="009C7292">
        <w:t xml:space="preserve"> (Cebr)</w:t>
      </w:r>
      <w:r w:rsidR="00C3126A">
        <w:t xml:space="preserve"> for their support in the production of this report.</w:t>
      </w:r>
    </w:p>
    <w:p w14:paraId="04C8D308" w14:textId="054D5AC6" w:rsidR="008C6518" w:rsidRDefault="008C6518" w:rsidP="00C3126A">
      <w:pPr>
        <w:jc w:val="center"/>
        <w:rPr>
          <w:kern w:val="2"/>
          <w14:ligatures w14:val="standardContextual"/>
        </w:rPr>
      </w:pPr>
    </w:p>
    <w:p w14:paraId="7E72C3FD" w14:textId="588ECF52" w:rsidR="001C2888" w:rsidRDefault="00D35F76" w:rsidP="00A35AA1">
      <w:pPr>
        <w:pStyle w:val="Heading1"/>
        <w:rPr>
          <w:kern w:val="2"/>
          <w:sz w:val="20"/>
          <w:szCs w:val="20"/>
          <w14:ligatures w14:val="standardContextual"/>
        </w:rPr>
      </w:pPr>
      <w:r>
        <w:t>Methodology</w:t>
      </w:r>
      <w:r w:rsidR="001367D9">
        <w:t xml:space="preserve"> and Definitions</w:t>
      </w:r>
    </w:p>
    <w:p w14:paraId="401641C5" w14:textId="0E55837F" w:rsidR="00F34F1A" w:rsidRPr="00A35AA1" w:rsidRDefault="005E48FB" w:rsidP="00A35AA1">
      <w:pPr>
        <w:jc w:val="both"/>
        <w:rPr>
          <w:kern w:val="2"/>
          <w14:ligatures w14:val="standardContextual"/>
        </w:rPr>
      </w:pPr>
      <w:r>
        <w:t>The</w:t>
      </w:r>
      <w:r w:rsidR="001C2888">
        <w:t xml:space="preserve"> </w:t>
      </w:r>
      <w:r w:rsidR="00C3126A">
        <w:t>Canal &amp; River Trust</w:t>
      </w:r>
      <w:r w:rsidR="001C2888">
        <w:t xml:space="preserve">’s economic contribution </w:t>
      </w:r>
      <w:r>
        <w:t xml:space="preserve">can be summarised </w:t>
      </w:r>
      <w:r w:rsidR="001C2888">
        <w:t>through three impact channels:</w:t>
      </w:r>
    </w:p>
    <w:p w14:paraId="2D12D3D5" w14:textId="4DE024D5" w:rsidR="001C2888" w:rsidRDefault="001C2888">
      <w:pPr>
        <w:jc w:val="both"/>
        <w:rPr>
          <w:kern w:val="2"/>
          <w14:ligatures w14:val="standardContextual"/>
        </w:rPr>
      </w:pPr>
      <w:r>
        <w:t xml:space="preserve">1) </w:t>
      </w:r>
      <w:r w:rsidRPr="00FA1EFB">
        <w:t>Construction and maintenance work</w:t>
      </w:r>
      <w:r>
        <w:t xml:space="preserve"> undertaken by the </w:t>
      </w:r>
      <w:r w:rsidR="00C3126A">
        <w:t>Canal &amp; River Trust</w:t>
      </w:r>
      <w:r>
        <w:t xml:space="preserve"> to preserve canals and </w:t>
      </w:r>
      <w:r w:rsidR="00894063">
        <w:t xml:space="preserve">other </w:t>
      </w:r>
      <w:r>
        <w:t xml:space="preserve">waterways. This includes expenditure on maintaining and upgrading canal and </w:t>
      </w:r>
      <w:r w:rsidR="00F45979">
        <w:t>canal network</w:t>
      </w:r>
      <w:r>
        <w:t xml:space="preserve"> infrastructure, including towpaths, locks, bridges and dredging.</w:t>
      </w:r>
    </w:p>
    <w:p w14:paraId="43D6847F" w14:textId="1C26EAF9" w:rsidR="001C2888" w:rsidRDefault="001C2888">
      <w:pPr>
        <w:jc w:val="both"/>
        <w:rPr>
          <w:kern w:val="2"/>
          <w14:ligatures w14:val="standardContextual"/>
        </w:rPr>
      </w:pPr>
      <w:r>
        <w:t xml:space="preserve">2) Domestic and international </w:t>
      </w:r>
      <w:r w:rsidRPr="00FA1EFB">
        <w:t>boating expenditure</w:t>
      </w:r>
      <w:r>
        <w:t xml:space="preserve"> taking place on </w:t>
      </w:r>
      <w:r w:rsidR="00C3126A">
        <w:t>Canal &amp; River Trust</w:t>
      </w:r>
      <w:r>
        <w:t>-managed waterways. Consistent with wider research conducted by British Marine, this is segmented into:</w:t>
      </w:r>
    </w:p>
    <w:p w14:paraId="1C64E7A2" w14:textId="77777777" w:rsidR="001C2888" w:rsidRDefault="001C2888" w:rsidP="001C2888">
      <w:pPr>
        <w:pStyle w:val="ListParagraph"/>
        <w:numPr>
          <w:ilvl w:val="0"/>
          <w:numId w:val="11"/>
        </w:numPr>
        <w:jc w:val="both"/>
        <w:rPr>
          <w:kern w:val="2"/>
          <w14:ligatures w14:val="standardContextual"/>
        </w:rPr>
      </w:pPr>
      <w:r w:rsidRPr="00FA1EFB">
        <w:t>Boating expenditure</w:t>
      </w:r>
      <w:r>
        <w:t>, referring to spending directly linked to boating activities, such as marina services, boat hire and related services.</w:t>
      </w:r>
    </w:p>
    <w:p w14:paraId="2C765BCE" w14:textId="555F6503" w:rsidR="001C2888" w:rsidRDefault="001C2888" w:rsidP="001C2888">
      <w:pPr>
        <w:pStyle w:val="ListParagraph"/>
        <w:numPr>
          <w:ilvl w:val="0"/>
          <w:numId w:val="11"/>
        </w:numPr>
        <w:jc w:val="both"/>
        <w:rPr>
          <w:kern w:val="2"/>
          <w14:ligatures w14:val="standardContextual"/>
        </w:rPr>
      </w:pPr>
      <w:r w:rsidRPr="00FA1EFB">
        <w:t>Wider boating expenditure</w:t>
      </w:r>
      <w:r>
        <w:t xml:space="preserve">, referring to broader spending by visitors, including hire-boat users, private boaters and passengers, who engage in boating activities on </w:t>
      </w:r>
      <w:r w:rsidR="00C3126A">
        <w:t>Canal &amp; River Trust</w:t>
      </w:r>
      <w:r>
        <w:t>-managed waterways. This includes spending on accommodation, food and drink, on-land transport and associated services.</w:t>
      </w:r>
    </w:p>
    <w:p w14:paraId="2ED71A35" w14:textId="3DA93CCA" w:rsidR="001C2888" w:rsidRDefault="001C2888">
      <w:pPr>
        <w:jc w:val="both"/>
        <w:rPr>
          <w:kern w:val="2"/>
          <w14:ligatures w14:val="standardContextual"/>
        </w:rPr>
      </w:pPr>
      <w:r>
        <w:t xml:space="preserve">3) </w:t>
      </w:r>
      <w:r w:rsidRPr="00FA1EFB">
        <w:t>Towpath users</w:t>
      </w:r>
      <w:r>
        <w:t xml:space="preserve"> of </w:t>
      </w:r>
      <w:r w:rsidR="00C3126A">
        <w:t>Canal &amp; River Trust</w:t>
      </w:r>
      <w:r>
        <w:t xml:space="preserve">-managed waterways and their associated expenditure. This includes spending by individuals using </w:t>
      </w:r>
      <w:r w:rsidR="00C3126A">
        <w:t>Canal &amp; River Trust</w:t>
      </w:r>
      <w:r>
        <w:t xml:space="preserve"> towpaths for walking, running, cycling and other leisure activities, typically as part of recreational visits. It includes both domestic and international visits.</w:t>
      </w:r>
    </w:p>
    <w:p w14:paraId="2318F80E" w14:textId="7D861265" w:rsidR="001C2888" w:rsidRDefault="001C2888">
      <w:pPr>
        <w:jc w:val="both"/>
        <w:rPr>
          <w:kern w:val="2"/>
          <w14:ligatures w14:val="standardContextual"/>
        </w:rPr>
      </w:pPr>
      <w:r>
        <w:t xml:space="preserve">This report estimates the </w:t>
      </w:r>
      <w:r w:rsidRPr="00FA1EFB">
        <w:t>Gross Value Added (GVA)</w:t>
      </w:r>
      <w:r>
        <w:t xml:space="preserve"> and </w:t>
      </w:r>
      <w:r w:rsidRPr="00FA1EFB">
        <w:t>Full-Time Equivalent (FTE) employment</w:t>
      </w:r>
      <w:r>
        <w:t xml:space="preserve"> supported by activities on, or associated with, </w:t>
      </w:r>
      <w:r w:rsidR="00C3126A">
        <w:t>Canal &amp; River Trust</w:t>
      </w:r>
      <w:r>
        <w:t>-managed waterways:</w:t>
      </w:r>
    </w:p>
    <w:p w14:paraId="06A4BF81" w14:textId="77777777" w:rsidR="001C2888" w:rsidRDefault="001C2888" w:rsidP="001C2888">
      <w:pPr>
        <w:pStyle w:val="ListParagraph"/>
        <w:numPr>
          <w:ilvl w:val="0"/>
          <w:numId w:val="10"/>
        </w:numPr>
        <w:rPr>
          <w:kern w:val="2"/>
          <w14:ligatures w14:val="standardContextual"/>
        </w:rPr>
      </w:pPr>
      <w:r w:rsidRPr="00FA1EFB">
        <w:t>GVA</w:t>
      </w:r>
      <w:r>
        <w:t xml:space="preserve"> measures the value of output produced after subtracting the costs of generating that output. It reflects the contribution of a sector or activity to the overall economy.</w:t>
      </w:r>
    </w:p>
    <w:p w14:paraId="798AE38F" w14:textId="77777777" w:rsidR="001C2888" w:rsidRDefault="001C2888" w:rsidP="001C2888">
      <w:pPr>
        <w:pStyle w:val="ListParagraph"/>
        <w:numPr>
          <w:ilvl w:val="0"/>
          <w:numId w:val="10"/>
        </w:numPr>
        <w:rPr>
          <w:kern w:val="2"/>
          <w14:ligatures w14:val="standardContextual"/>
        </w:rPr>
      </w:pPr>
      <w:r w:rsidRPr="00FA1EFB">
        <w:t>FTE employment</w:t>
      </w:r>
      <w:r>
        <w:t xml:space="preserve"> is a standardised measure of employment that converts part-time and full-time jobs into a common unit. For example, two part-time jobs might equate to one FTE role.</w:t>
      </w:r>
    </w:p>
    <w:p w14:paraId="59E2DC34" w14:textId="19A297B3" w:rsidR="001C2888" w:rsidRDefault="00CA694B">
      <w:pPr>
        <w:rPr>
          <w:kern w:val="2"/>
          <w14:ligatures w14:val="standardContextual"/>
        </w:rPr>
      </w:pPr>
      <w:bookmarkStart w:id="0" w:name="_Ref201242501"/>
      <w:r>
        <w:t>This report</w:t>
      </w:r>
      <w:r w:rsidR="001C2888">
        <w:t xml:space="preserve"> also captures the wider </w:t>
      </w:r>
      <w:r w:rsidR="001C2888" w:rsidRPr="00FA1EFB">
        <w:t>indirect and induced</w:t>
      </w:r>
      <w:r w:rsidR="001C2888">
        <w:t xml:space="preserve"> economic impacts supported by </w:t>
      </w:r>
      <w:r w:rsidR="00C3126A">
        <w:t>Canal &amp; River Trust</w:t>
      </w:r>
      <w:r w:rsidR="001C2888">
        <w:t xml:space="preserve">-related activity. A further summary of these impact layers is presented </w:t>
      </w:r>
      <w:r w:rsidR="00973775">
        <w:t xml:space="preserve">in Figure 1 </w:t>
      </w:r>
      <w:r w:rsidR="001C2888">
        <w:t>below.</w:t>
      </w:r>
    </w:p>
    <w:p w14:paraId="548E4E5C" w14:textId="59ABED81" w:rsidR="00F34F1A" w:rsidRPr="002245C3" w:rsidRDefault="00F34F1A" w:rsidP="002245C3">
      <w:pPr>
        <w:rPr>
          <w:b/>
          <w:bCs/>
        </w:rPr>
      </w:pPr>
      <w:r w:rsidRPr="002245C3">
        <w:rPr>
          <w:b/>
          <w:bCs/>
        </w:rPr>
        <w:t xml:space="preserve">Figure </w:t>
      </w:r>
      <w:r w:rsidRPr="002245C3">
        <w:rPr>
          <w:b/>
          <w:bCs/>
        </w:rPr>
        <w:fldChar w:fldCharType="begin"/>
      </w:r>
      <w:r w:rsidRPr="002245C3">
        <w:rPr>
          <w:b/>
          <w:bCs/>
        </w:rPr>
        <w:instrText xml:space="preserve"> SEQ Figure \* ARABIC </w:instrText>
      </w:r>
      <w:r w:rsidRPr="002245C3">
        <w:rPr>
          <w:b/>
          <w:bCs/>
        </w:rPr>
        <w:fldChar w:fldCharType="separate"/>
      </w:r>
      <w:r w:rsidRPr="002245C3">
        <w:rPr>
          <w:b/>
          <w:bCs/>
          <w:noProof/>
        </w:rPr>
        <w:t>1</w:t>
      </w:r>
      <w:r w:rsidRPr="002245C3">
        <w:rPr>
          <w:b/>
          <w:bCs/>
          <w:noProof/>
        </w:rPr>
        <w:fldChar w:fldCharType="end"/>
      </w:r>
      <w:bookmarkEnd w:id="0"/>
      <w:r w:rsidRPr="002245C3">
        <w:rPr>
          <w:b/>
          <w:bCs/>
        </w:rPr>
        <w:t>: Diagram illustrating total</w:t>
      </w:r>
      <w:r w:rsidR="00B2690C" w:rsidRPr="002245C3">
        <w:rPr>
          <w:b/>
          <w:bCs/>
        </w:rPr>
        <w:t xml:space="preserve"> aggregate </w:t>
      </w:r>
      <w:r w:rsidR="005B6B8A" w:rsidRPr="002245C3">
        <w:rPr>
          <w:b/>
          <w:bCs/>
        </w:rPr>
        <w:t>impact</w:t>
      </w:r>
    </w:p>
    <w:p w14:paraId="7260F968" w14:textId="77777777" w:rsidR="00F34F1A" w:rsidRDefault="00F34F1A" w:rsidP="00E25697">
      <w:pPr>
        <w:pStyle w:val="ListBullet"/>
        <w:rPr>
          <w:rFonts w:hint="eastAsia"/>
        </w:rPr>
      </w:pPr>
      <w:r>
        <w:rPr>
          <w:noProof/>
        </w:rPr>
        <w:lastRenderedPageBreak/>
        <mc:AlternateContent>
          <mc:Choice Requires="wpg">
            <w:drawing>
              <wp:anchor distT="0" distB="0" distL="114300" distR="114300" simplePos="0" relativeHeight="251662848" behindDoc="0" locked="0" layoutInCell="1" allowOverlap="1" wp14:anchorId="778671EB" wp14:editId="4D9A5473">
                <wp:simplePos x="0" y="0"/>
                <wp:positionH relativeFrom="column">
                  <wp:posOffset>87143</wp:posOffset>
                </wp:positionH>
                <wp:positionV relativeFrom="paragraph">
                  <wp:posOffset>207010</wp:posOffset>
                </wp:positionV>
                <wp:extent cx="5508722" cy="2415263"/>
                <wp:effectExtent l="0" t="0" r="15875" b="23495"/>
                <wp:wrapTopAndBottom/>
                <wp:docPr id="66" name="Group 7"/>
                <wp:cNvGraphicFramePr/>
                <a:graphic xmlns:a="http://schemas.openxmlformats.org/drawingml/2006/main">
                  <a:graphicData uri="http://schemas.microsoft.com/office/word/2010/wordprocessingGroup">
                    <wpg:wgp>
                      <wpg:cNvGrpSpPr/>
                      <wpg:grpSpPr>
                        <a:xfrm>
                          <a:off x="0" y="0"/>
                          <a:ext cx="5508722" cy="2415263"/>
                          <a:chOff x="123825" y="0"/>
                          <a:chExt cx="5133975" cy="3162300"/>
                        </a:xfrm>
                      </wpg:grpSpPr>
                      <wpg:grpSp>
                        <wpg:cNvPr id="68" name="Group 68"/>
                        <wpg:cNvGrpSpPr/>
                        <wpg:grpSpPr>
                          <a:xfrm>
                            <a:off x="123825" y="0"/>
                            <a:ext cx="5133975" cy="3162300"/>
                            <a:chOff x="123825" y="0"/>
                            <a:chExt cx="5133975" cy="3162300"/>
                          </a:xfrm>
                        </wpg:grpSpPr>
                        <wpg:grpSp>
                          <wpg:cNvPr id="69" name="Group 69"/>
                          <wpg:cNvGrpSpPr/>
                          <wpg:grpSpPr>
                            <a:xfrm>
                              <a:off x="123825" y="0"/>
                              <a:ext cx="5133975" cy="3162300"/>
                              <a:chOff x="123825" y="0"/>
                              <a:chExt cx="5133975" cy="3162300"/>
                            </a:xfrm>
                          </wpg:grpSpPr>
                          <wps:wsp>
                            <wps:cNvPr id="70" name="Oval 70"/>
                            <wps:cNvSpPr/>
                            <wps:spPr>
                              <a:xfrm>
                                <a:off x="152400" y="0"/>
                                <a:ext cx="5105400" cy="3162300"/>
                              </a:xfrm>
                              <a:prstGeom prst="ellipse">
                                <a:avLst/>
                              </a:prstGeom>
                              <a:solidFill>
                                <a:schemeClr val="accent5">
                                  <a:lumMod val="20000"/>
                                  <a:lumOff val="80000"/>
                                  <a:alpha val="15000"/>
                                </a:schemeClr>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71" name="Group 71"/>
                            <wpg:cNvGrpSpPr/>
                            <wpg:grpSpPr>
                              <a:xfrm>
                                <a:off x="123825" y="323850"/>
                                <a:ext cx="3362325" cy="2514600"/>
                                <a:chOff x="123825" y="323850"/>
                                <a:chExt cx="3362325" cy="2514600"/>
                              </a:xfrm>
                            </wpg:grpSpPr>
                            <wpg:grpSp>
                              <wpg:cNvPr id="72" name="Group 72"/>
                              <wpg:cNvGrpSpPr/>
                              <wpg:grpSpPr>
                                <a:xfrm>
                                  <a:off x="123825" y="323850"/>
                                  <a:ext cx="3362325" cy="2514600"/>
                                  <a:chOff x="123825" y="323850"/>
                                  <a:chExt cx="3467100" cy="2514600"/>
                                </a:xfrm>
                              </wpg:grpSpPr>
                              <wps:wsp>
                                <wps:cNvPr id="73" name="Oval 73"/>
                                <wps:cNvSpPr/>
                                <wps:spPr>
                                  <a:xfrm>
                                    <a:off x="123825" y="323850"/>
                                    <a:ext cx="3467100" cy="2514600"/>
                                  </a:xfrm>
                                  <a:prstGeom prst="ellipse">
                                    <a:avLst/>
                                  </a:prstGeom>
                                  <a:solidFill>
                                    <a:schemeClr val="accent1">
                                      <a:lumMod val="60000"/>
                                      <a:lumOff val="40000"/>
                                      <a:alpha val="5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 name="Oval 74"/>
                                <wps:cNvSpPr/>
                                <wps:spPr>
                                  <a:xfrm>
                                    <a:off x="168786" y="674250"/>
                                    <a:ext cx="1857375" cy="1864327"/>
                                  </a:xfrm>
                                  <a:prstGeom prst="ellipse">
                                    <a:avLst/>
                                  </a:prstGeom>
                                  <a:solidFill>
                                    <a:schemeClr val="tx2">
                                      <a:lumMod val="60000"/>
                                      <a:lumOff val="40000"/>
                                      <a:alpha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363306" w14:textId="5ABB76E0" w:rsidR="00F34F1A" w:rsidRPr="002245C3" w:rsidRDefault="00F34F1A" w:rsidP="00876C5F">
                                      <w:pPr>
                                        <w:pStyle w:val="NormalWeb"/>
                                        <w:rPr>
                                          <w:rFonts w:asciiTheme="minorHAnsi" w:hAnsiTheme="minorHAnsi"/>
                                          <w:sz w:val="12"/>
                                          <w:szCs w:val="20"/>
                                        </w:rPr>
                                      </w:pPr>
                                      <w:r w:rsidRPr="002245C3">
                                        <w:rPr>
                                          <w:rFonts w:asciiTheme="minorHAnsi" w:hAnsiTheme="minorHAnsi"/>
                                          <w:b/>
                                          <w:bCs/>
                                        </w:rPr>
                                        <w:t>(1) Direct impact</w:t>
                                      </w:r>
                                      <w:r w:rsidRPr="002245C3">
                                        <w:rPr>
                                          <w:rFonts w:asciiTheme="minorHAnsi" w:eastAsia="Microsoft JhengHei" w:hAnsiTheme="minorHAnsi"/>
                                          <w:b/>
                                          <w:bCs/>
                                          <w:sz w:val="18"/>
                                          <w:szCs w:val="18"/>
                                        </w:rPr>
                                        <w:br/>
                                      </w:r>
                                      <w:r w:rsidRPr="002245C3">
                                        <w:rPr>
                                          <w:rFonts w:asciiTheme="minorHAnsi" w:hAnsiTheme="minorHAnsi"/>
                                          <w:sz w:val="18"/>
                                          <w:szCs w:val="18"/>
                                        </w:rPr>
                                        <w:t xml:space="preserve">The value generated, and jobs supported directly by </w:t>
                                      </w:r>
                                      <w:r w:rsidR="00C3126A">
                                        <w:rPr>
                                          <w:rFonts w:asciiTheme="minorHAnsi" w:hAnsiTheme="minorHAnsi"/>
                                          <w:sz w:val="18"/>
                                          <w:szCs w:val="18"/>
                                        </w:rPr>
                                        <w:t>Canal &amp; River Trust</w:t>
                                      </w:r>
                                      <w:r w:rsidRPr="002245C3">
                                        <w:rPr>
                                          <w:rFonts w:asciiTheme="minorHAnsi" w:hAnsiTheme="minorHAnsi"/>
                                          <w:sz w:val="18"/>
                                          <w:szCs w:val="18"/>
                                        </w:rPr>
                                        <w:t>-managed waterways</w:t>
                                      </w:r>
                                      <w:r w:rsidR="00FB21CF">
                                        <w:rPr>
                                          <w:rFonts w:asciiTheme="minorHAnsi" w:hAnsiTheme="minorHAnsi"/>
                                          <w:sz w:val="18"/>
                                          <w:szCs w:val="18"/>
                                        </w:rPr>
                                        <w:t>.</w:t>
                                      </w:r>
                                    </w:p>
                                  </w:txbxContent>
                                </wps:txbx>
                                <wps:bodyPr rot="0" spcFirstLastPara="0" vert="horz" wrap="square" lIns="72000" tIns="36000" rIns="72000" bIns="36000" numCol="1" spcCol="0" rtlCol="0" fromWordArt="0" anchor="ctr" anchorCtr="0" forceAA="0" compatLnSpc="1">
                                  <a:prstTxWarp prst="textNoShape">
                                    <a:avLst/>
                                  </a:prstTxWarp>
                                  <a:noAutofit/>
                                </wps:bodyPr>
                              </wps:wsp>
                            </wpg:grpSp>
                            <wps:wsp>
                              <wps:cNvPr id="82" name="Text Box 297"/>
                              <wps:cNvSpPr txBox="1"/>
                              <wps:spPr>
                                <a:xfrm>
                                  <a:off x="1955332" y="855538"/>
                                  <a:ext cx="1419225" cy="18107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504227" w14:textId="00D3AA46" w:rsidR="00F34F1A" w:rsidRPr="002245C3" w:rsidRDefault="00F34F1A" w:rsidP="00876C5F">
                                    <w:pPr>
                                      <w:pStyle w:val="NormalWeb"/>
                                      <w:rPr>
                                        <w:rFonts w:asciiTheme="minorHAnsi" w:hAnsiTheme="minorHAnsi"/>
                                        <w:sz w:val="22"/>
                                        <w:szCs w:val="22"/>
                                      </w:rPr>
                                    </w:pPr>
                                    <w:r w:rsidRPr="002245C3">
                                      <w:rPr>
                                        <w:rFonts w:asciiTheme="minorHAnsi" w:hAnsiTheme="minorHAnsi"/>
                                        <w:b/>
                                        <w:bCs/>
                                        <w:sz w:val="22"/>
                                        <w:szCs w:val="22"/>
                                      </w:rPr>
                                      <w:t>(</w:t>
                                    </w:r>
                                    <w:r w:rsidRPr="002245C3">
                                      <w:rPr>
                                        <w:rFonts w:asciiTheme="minorHAnsi" w:hAnsiTheme="minorHAnsi"/>
                                        <w:b/>
                                        <w:bCs/>
                                      </w:rPr>
                                      <w:t>2) Indirect impact</w:t>
                                    </w:r>
                                    <w:r w:rsidRPr="002245C3">
                                      <w:rPr>
                                        <w:rFonts w:asciiTheme="minorHAnsi" w:hAnsiTheme="minorHAnsi" w:cstheme="minorBidi"/>
                                        <w:b/>
                                        <w:bCs/>
                                        <w:sz w:val="22"/>
                                        <w:szCs w:val="22"/>
                                      </w:rPr>
                                      <w:br/>
                                    </w:r>
                                    <w:r w:rsidRPr="002245C3">
                                      <w:rPr>
                                        <w:rFonts w:asciiTheme="minorHAnsi" w:hAnsiTheme="minorHAnsi"/>
                                        <w:sz w:val="18"/>
                                        <w:szCs w:val="18"/>
                                      </w:rPr>
                                      <w:t>The value generated, and jobs supported in domestic industries that supply the sector</w:t>
                                    </w:r>
                                    <w:r w:rsidR="00FB21CF">
                                      <w:rPr>
                                        <w:rFonts w:asciiTheme="minorHAnsi" w:hAnsiTheme="minorHAnsi"/>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s:wsp>
                          <wps:cNvPr id="83" name="Text Box 302"/>
                          <wps:cNvSpPr txBox="1"/>
                          <wps:spPr>
                            <a:xfrm>
                              <a:off x="3424793" y="839432"/>
                              <a:ext cx="1609725" cy="19918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251DE8" w14:textId="7DB9E666" w:rsidR="00F34F1A" w:rsidRPr="002245C3" w:rsidRDefault="00F34F1A" w:rsidP="00876C5F">
                                <w:pPr>
                                  <w:pStyle w:val="NormalWeb"/>
                                  <w:rPr>
                                    <w:rFonts w:asciiTheme="minorHAnsi" w:hAnsiTheme="minorHAnsi"/>
                                    <w:sz w:val="18"/>
                                    <w:szCs w:val="18"/>
                                  </w:rPr>
                                </w:pPr>
                                <w:r w:rsidRPr="002245C3">
                                  <w:rPr>
                                    <w:rFonts w:asciiTheme="minorHAnsi" w:hAnsiTheme="minorHAnsi"/>
                                    <w:b/>
                                    <w:bCs/>
                                    <w:sz w:val="22"/>
                                    <w:szCs w:val="22"/>
                                  </w:rPr>
                                  <w:t>(3) Induced impact</w:t>
                                </w:r>
                                <w:r w:rsidRPr="002245C3">
                                  <w:rPr>
                                    <w:rFonts w:asciiTheme="minorHAnsi" w:hAnsiTheme="minorHAnsi"/>
                                    <w:b/>
                                    <w:bCs/>
                                    <w:sz w:val="18"/>
                                    <w:szCs w:val="22"/>
                                  </w:rPr>
                                  <w:br/>
                                </w:r>
                                <w:r w:rsidRPr="002245C3">
                                  <w:rPr>
                                    <w:rFonts w:asciiTheme="minorHAnsi" w:hAnsiTheme="minorHAnsi"/>
                                    <w:sz w:val="18"/>
                                    <w:szCs w:val="18"/>
                                  </w:rPr>
                                  <w:t xml:space="preserve">The value generated, and jobs supported in the wider economy when employees associated with direct &amp; indirect impacts spend their earnings in </w:t>
                                </w:r>
                                <w:r w:rsidR="00BF1792" w:rsidRPr="002245C3">
                                  <w:rPr>
                                    <w:rFonts w:asciiTheme="minorHAnsi" w:hAnsiTheme="minorHAnsi"/>
                                    <w:sz w:val="18"/>
                                    <w:szCs w:val="18"/>
                                  </w:rPr>
                                  <w:t xml:space="preserve">the </w:t>
                                </w:r>
                                <w:r w:rsidRPr="002245C3">
                                  <w:rPr>
                                    <w:rFonts w:asciiTheme="minorHAnsi" w:hAnsiTheme="minorHAnsi"/>
                                    <w:sz w:val="18"/>
                                    <w:szCs w:val="18"/>
                                  </w:rPr>
                                  <w:t>wider economy.</w:t>
                                </w:r>
                              </w:p>
                              <w:p w14:paraId="5CF92984" w14:textId="77777777" w:rsidR="00F34F1A" w:rsidRPr="002245C3" w:rsidRDefault="00F34F1A" w:rsidP="00E25697">
                                <w:pPr>
                                  <w:pStyle w:val="NormalWeb"/>
                                  <w:rPr>
                                    <w:rFonts w:asciiTheme="minorHAnsi" w:hAnsiTheme="minorHAnsi"/>
                                    <w:sz w:val="18"/>
                                    <w:szCs w:val="1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86" name="Text Box 306"/>
                        <wps:cNvSpPr txBox="1"/>
                        <wps:spPr>
                          <a:xfrm>
                            <a:off x="1088275" y="260817"/>
                            <a:ext cx="3448050" cy="4409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4463B7" w14:textId="17018168" w:rsidR="00F34F1A" w:rsidRPr="002245C3" w:rsidRDefault="00F34F1A" w:rsidP="00E25697">
                              <w:pPr>
                                <w:pStyle w:val="NormalWeb"/>
                                <w:rPr>
                                  <w:rFonts w:asciiTheme="minorHAnsi" w:hAnsiTheme="minorHAnsi"/>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8671EB" id="Group 7" o:spid="_x0000_s1027" style="position:absolute;margin-left:6.85pt;margin-top:16.3pt;width:433.75pt;height:190.2pt;z-index:251662848;mso-width-relative:margin;mso-height-relative:margin" coordorigin="1238" coordsize="51339,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0dlcAUAAEQeAAAOAAAAZHJzL2Uyb0RvYy54bWzsWdtu4zYQfS/QfxD03lj3ixFnkWaboEC6&#10;GzQp9pmRKFuoJKoUHTv9+g6HIiU78dZJs0a28Esi3kYzozlzhuPTD+u6sh4o70rWzGz3xLEt2mQs&#10;L5v5zP7j7vKnxLY6QZqcVKyhM/uRdvaHsx9/OF21U+qxBatyyi0Q0nTTVTuzF0K008mkyxa0Jt0J&#10;a2kDiwXjNREw5PNJzskKpNfVxHOcaLJiPG85y2jXwexHtWifofyioJn4XBQdFVY1s0E3gX85/r2X&#10;fydnp2Q656RdlFmvBnmFFjUpG3ipEfWRCGIteflEVF1mnHWsECcZqyesKMqMog1gjetsWXPF2bJF&#10;W+bT1bw1bgLXbvnp1WKzTw9XvL1tbzh4YtXOwRc4krasC17L/6CltUaXPRqX0bWwMpgMQyeJPc+2&#10;MljzAjf0Il85NVuA5+U51/MTL7St4XC2+EUfd30/jWFRHvfdyPMd/CYT/fbJhk5moHQF5W+4VeYz&#10;O4Iwa0gNAYY+s2Dc2/MCA58qaqzcoSaZHtbKdMvK9Lu2EhDfDUHd/begvl2QliJWuukQFzFgXsXF&#10;5wdSWTDEsMAtJui7aQfx/0zEQzQHEI+jyB0CwglxaVfckmnLO3FFWW3Jh5lNq6psO6khmZKH606A&#10;IhDlepec7lhV5pdlVeFAZkB6UXELFJ/ZJMtoI0I8Xi3r31iu5iEHKsSQKUxLxOH2ZJgmVbsgatYN&#10;+83wYsywUj6qsfHqqnmqDZ/fG11ix3fONUxHJ0GqPAqQ1R7FJ/FYUSmwan6nBaAVUoKHdhgVxia6&#10;amlBcqqmpc7mZdopqDQKlJIL8JmR3QvQOzdlK6f3++VRihxhDjtfU0wdNifwzawR5nBdNow/J6AS&#10;row78E+h9msnKddIL92z/BFyGWeKobo2uywhbq5JJ24IB0qCMASahdUF43/b1gooa2Z3fy0Jp7ZV&#10;/doAfFI3CCTH4SAIYw8GfLxyP15plvUFg8hygaDbDB/lflHpx4Kz+guw67l8KyyRJoN3z+xMcD24&#10;EIpKgZ8zen6O24DXWiKum9s2k8Kll2SQ362/EN72YBCAo09MQ/YJINReebJh50vBihLRMvip9x+k&#10;jxFpbXNCDJaNOQHG8BEkhbyOE3zgsRAjEcKm5y/fB8qS5Ib0F7pBpNH4HDGMJQwcuEsGhIti4D05&#10;MAYW3rDXe6f2BlHsyrS65bOd9h6CJ3ztO8UTWMPIeINQ2YMnhgpn/IlNkPybwQMNvCVZKOyNyQKC&#10;U4fnmCyAyPT0iCygslOz8F1MpsYkNkr5KuNLnEreUjnuyAFHDjg4BxwiRwSbOSJ4WS0ZJXESYS0Z&#10;xYG3TSRuEsa+vgi5SRT4XtzXDPoapkvFt8kRYq2KsFfnB+DCY34wNbGqz3WZ921qRLG+X+Ntty9k&#10;3qZqhDIRvmNfNfqSInTV2K+oqrFf+b9UjUNNJUvCA2SPxFRnd7Iu+JmtLS9FiI/KDEusYUGWzVip&#10;6muULgRNK8ZNw9D3QSJ0TZIQnrHdMZSlbuCmni5L3cR14ij6ejbh0ClD2tpxNzUELxnfWkHHxYcU&#10;pkr0TerXd6r+iiutU9drfHrmMrjHnev5m94eBw9908v/1Clg503PoLgvz98GxQe6+4n3dPMbY3j8&#10;fBg8mxuDwbPvmE/aXxv2xbMfeEGcgkSJZz8F8pdoHeE5ctLY4DlNXei5HvEsu/um+bJHMngFK78E&#10;z+bO+B31ct4tng+DYajHVcdkhGEkSvn6F2LYdZLEkxU8YNiLnMRFch8w7AdB4gBnYtsDGnWph917&#10;0/V40gQ4UvLQ+Nas+o0hbK50Rwhjp2do3O7ZjEUahp8q8XT/s6r8LXQ8hufxj79n/wAAAP//AwBQ&#10;SwMEFAAGAAgAAAAhAI/Xv0vfAAAACQEAAA8AAABkcnMvZG93bnJldi54bWxMj0FLw0AUhO+C/2F5&#10;gje72URriNmUUtRTEWwF8faavCah2bchu03Sf+96ssdhhplv8tVsOjHS4FrLGtQiAkFc2qrlWsPX&#10;/u0hBeE8coWdZdJwIQer4vYmx6yyE3/SuPO1CCXsMtTQeN9nUrqyIYNuYXvi4B3tYNAHOdSyGnAK&#10;5aaTcRQtpcGWw0KDPW0aKk+7s9HwPuG0TtTruD0dN5ef/dPH91aR1vd38/oFhKfZ/4fhDz+gQxGY&#10;DvbMlRNd0MlzSGpI4iWI4KepikEcNDyqJAJZ5PL6QfELAAD//wMAUEsBAi0AFAAGAAgAAAAhALaD&#10;OJL+AAAA4QEAABMAAAAAAAAAAAAAAAAAAAAAAFtDb250ZW50X1R5cGVzXS54bWxQSwECLQAUAAYA&#10;CAAAACEAOP0h/9YAAACUAQAACwAAAAAAAAAAAAAAAAAvAQAAX3JlbHMvLnJlbHNQSwECLQAUAAYA&#10;CAAAACEAbVdHZXAFAABEHgAADgAAAAAAAAAAAAAAAAAuAgAAZHJzL2Uyb0RvYy54bWxQSwECLQAU&#10;AAYACAAAACEAj9e/S98AAAAJAQAADwAAAAAAAAAAAAAAAADKBwAAZHJzL2Rvd25yZXYueG1sUEsF&#10;BgAAAAAEAAQA8wAAANYIAAAAAA==&#10;">
                <v:group id="Group 68" o:spid="_x0000_s1028" style="position:absolute;left:1238;width:51340;height:31623" coordorigin="1238" coordsize="51339,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group id="Group 69" o:spid="_x0000_s1029" style="position:absolute;left:1238;width:51340;height:31623" coordorigin="1238" coordsize="51339,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oval id="Oval 70" o:spid="_x0000_s1030" style="position:absolute;left:1524;width:51054;height:31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KlFvwAAANsAAAAPAAAAZHJzL2Rvd25yZXYueG1sRE/LagIx&#10;FN0X/IdwBTdFM7bUx2gUKRS69fEB1+SaGZ3chEl0xn59syh0eTjv9bZ3jXhQG2vPCqaTAgSx9qZm&#10;q+B0/BovQMSEbLDxTAqeFGG7GbyssTS+4z09DsmKHMKxRAVVSqGUMuqKHMaJD8SZu/jWYcqwtdK0&#10;2OVw18i3ophJhzXnhgoDfVakb4e7U/AT/M2eF8le/Wv3fpl+6GXYa6VGw363ApGoT//iP/e3UTDP&#10;6/OX/APk5hcAAP//AwBQSwECLQAUAAYACAAAACEA2+H2y+4AAACFAQAAEwAAAAAAAAAAAAAAAAAA&#10;AAAAW0NvbnRlbnRfVHlwZXNdLnhtbFBLAQItABQABgAIAAAAIQBa9CxbvwAAABUBAAALAAAAAAAA&#10;AAAAAAAAAB8BAABfcmVscy8ucmVsc1BLAQItABQABgAIAAAAIQAQ1KlFvwAAANsAAAAPAAAAAAAA&#10;AAAAAAAAAAcCAABkcnMvZG93bnJldi54bWxQSwUGAAAAAAMAAwC3AAAA8wIAAAAA&#10;" fillcolor="#e1ceed [664]" strokecolor="#7030a0" strokeweight="2pt">
                      <v:fill opacity="9766f"/>
                    </v:oval>
                    <v:group id="Group 71" o:spid="_x0000_s1031" style="position:absolute;left:1238;top:3238;width:33623;height:25146" coordorigin="1238,3238" coordsize="33623,2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Group 72" o:spid="_x0000_s1032" style="position:absolute;left:1238;top:3238;width:33623;height:25146" coordorigin="1238,3238" coordsize="34671,2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oval id="Oval 73" o:spid="_x0000_s1033" style="position:absolute;left:1238;top:3238;width:34671;height:25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Y6NxgAAANsAAAAPAAAAZHJzL2Rvd25yZXYueG1sRI9Ba8JA&#10;EIXvQv/DMoXezMYKtUTXIBat1IMkivQ4ZKdJSHY2ZLca++u7BaHHx5v3vXmLdDCtuFDvassKJlEM&#10;griwuuZSwem4Gb+CcB5ZY2uZFNzIQbp8GC0w0fbKGV1yX4oAYZeggsr7LpHSFRUZdJHtiIP3ZXuD&#10;Psi+lLrHa4CbVj7H8Ys0WHNoqLCjdUVFk3+b8Mb+ln9ku+x936z12/bw85mdp1app8dhNQfhafD/&#10;x/f0TiuYTeFvSwCAXP4CAAD//wMAUEsBAi0AFAAGAAgAAAAhANvh9svuAAAAhQEAABMAAAAAAAAA&#10;AAAAAAAAAAAAAFtDb250ZW50X1R5cGVzXS54bWxQSwECLQAUAAYACAAAACEAWvQsW78AAAAVAQAA&#10;CwAAAAAAAAAAAAAAAAAfAQAAX3JlbHMvLnJlbHNQSwECLQAUAAYACAAAACEA6DmOjcYAAADbAAAA&#10;DwAAAAAAAAAAAAAAAAAHAgAAZHJzL2Rvd25yZXYueG1sUEsFBgAAAAADAAMAtwAAAPoCAAAAAA==&#10;" fillcolor="#559ae9 [1940]" stroked="f" strokeweight="2pt">
                          <v:fill opacity="35980f"/>
                        </v:oval>
                        <v:oval id="Oval 74" o:spid="_x0000_s1034" style="position:absolute;left:1687;top:6742;width:18574;height:18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T4GxAAAANsAAAAPAAAAZHJzL2Rvd25yZXYueG1sRI9fa8JA&#10;EMTfhX6HYwt900tL8U/0lNYiCC1Co4KPS25Ngrm9kNtq9NP3CkIfh5n5DTNbdK5WZ2pD5dnA8yAB&#10;RZx7W3FhYLdd9ceggiBbrD2TgSsFWMwfejNMrb/wN50zKVSEcEjRQCnSpFqHvCSHYeAb4ugdfetQ&#10;omwLbVu8RLir9UuSDLXDiuNCiQ0tS8pP2Y8zsKLD0k9utNH7WsR/XL8+b+9jY54eu7cpKKFO/sP3&#10;9toaGL3C35f4A/T8FwAA//8DAFBLAQItABQABgAIAAAAIQDb4fbL7gAAAIUBAAATAAAAAAAAAAAA&#10;AAAAAAAAAABbQ29udGVudF9UeXBlc10ueG1sUEsBAi0AFAAGAAgAAAAhAFr0LFu/AAAAFQEAAAsA&#10;AAAAAAAAAAAAAAAAHwEAAF9yZWxzLy5yZWxzUEsBAi0AFAAGAAgAAAAhAARFPgbEAAAA2wAAAA8A&#10;AAAAAAAAAAAAAAAABwIAAGRycy9kb3ducmV2LnhtbFBLBQYAAAAAAwADALcAAAD4AgAAAAA=&#10;" fillcolor="#559ae9 [1951]" stroked="f" strokeweight="2pt">
                          <v:fill opacity="55769f"/>
                          <v:textbox inset="2mm,1mm,2mm,1mm">
                            <w:txbxContent>
                              <w:p w14:paraId="2D363306" w14:textId="5ABB76E0" w:rsidR="00F34F1A" w:rsidRPr="002245C3" w:rsidRDefault="00F34F1A" w:rsidP="00876C5F">
                                <w:pPr>
                                  <w:pStyle w:val="NormalWeb"/>
                                  <w:rPr>
                                    <w:rFonts w:asciiTheme="minorHAnsi" w:hAnsiTheme="minorHAnsi"/>
                                    <w:sz w:val="12"/>
                                    <w:szCs w:val="20"/>
                                  </w:rPr>
                                </w:pPr>
                                <w:r w:rsidRPr="002245C3">
                                  <w:rPr>
                                    <w:rFonts w:asciiTheme="minorHAnsi" w:hAnsiTheme="minorHAnsi"/>
                                    <w:b/>
                                    <w:bCs/>
                                  </w:rPr>
                                  <w:t>(1) Direct impact</w:t>
                                </w:r>
                                <w:r w:rsidRPr="002245C3">
                                  <w:rPr>
                                    <w:rFonts w:asciiTheme="minorHAnsi" w:eastAsia="Microsoft JhengHei" w:hAnsiTheme="minorHAnsi"/>
                                    <w:b/>
                                    <w:bCs/>
                                    <w:sz w:val="18"/>
                                    <w:szCs w:val="18"/>
                                  </w:rPr>
                                  <w:br/>
                                </w:r>
                                <w:r w:rsidRPr="002245C3">
                                  <w:rPr>
                                    <w:rFonts w:asciiTheme="minorHAnsi" w:hAnsiTheme="minorHAnsi"/>
                                    <w:sz w:val="18"/>
                                    <w:szCs w:val="18"/>
                                  </w:rPr>
                                  <w:t xml:space="preserve">The value generated, and jobs supported directly by </w:t>
                                </w:r>
                                <w:r w:rsidR="00C3126A">
                                  <w:rPr>
                                    <w:rFonts w:asciiTheme="minorHAnsi" w:hAnsiTheme="minorHAnsi"/>
                                    <w:sz w:val="18"/>
                                    <w:szCs w:val="18"/>
                                  </w:rPr>
                                  <w:t>Canal &amp; River Trust</w:t>
                                </w:r>
                                <w:r w:rsidRPr="002245C3">
                                  <w:rPr>
                                    <w:rFonts w:asciiTheme="minorHAnsi" w:hAnsiTheme="minorHAnsi"/>
                                    <w:sz w:val="18"/>
                                    <w:szCs w:val="18"/>
                                  </w:rPr>
                                  <w:t>-managed waterways</w:t>
                                </w:r>
                                <w:r w:rsidR="00FB21CF">
                                  <w:rPr>
                                    <w:rFonts w:asciiTheme="minorHAnsi" w:hAnsiTheme="minorHAnsi"/>
                                    <w:sz w:val="18"/>
                                    <w:szCs w:val="18"/>
                                  </w:rPr>
                                  <w:t>.</w:t>
                                </w:r>
                              </w:p>
                            </w:txbxContent>
                          </v:textbox>
                        </v:oval>
                      </v:group>
                      <v:shape id="Text Box 297" o:spid="_x0000_s1035" type="#_x0000_t202" style="position:absolute;left:19553;top:8555;width:14192;height:18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13504227" w14:textId="00D3AA46" w:rsidR="00F34F1A" w:rsidRPr="002245C3" w:rsidRDefault="00F34F1A" w:rsidP="00876C5F">
                              <w:pPr>
                                <w:pStyle w:val="NormalWeb"/>
                                <w:rPr>
                                  <w:rFonts w:asciiTheme="minorHAnsi" w:hAnsiTheme="minorHAnsi"/>
                                  <w:sz w:val="22"/>
                                  <w:szCs w:val="22"/>
                                </w:rPr>
                              </w:pPr>
                              <w:r w:rsidRPr="002245C3">
                                <w:rPr>
                                  <w:rFonts w:asciiTheme="minorHAnsi" w:hAnsiTheme="minorHAnsi"/>
                                  <w:b/>
                                  <w:bCs/>
                                  <w:sz w:val="22"/>
                                  <w:szCs w:val="22"/>
                                </w:rPr>
                                <w:t>(</w:t>
                              </w:r>
                              <w:r w:rsidRPr="002245C3">
                                <w:rPr>
                                  <w:rFonts w:asciiTheme="minorHAnsi" w:hAnsiTheme="minorHAnsi"/>
                                  <w:b/>
                                  <w:bCs/>
                                </w:rPr>
                                <w:t>2) Indirect impact</w:t>
                              </w:r>
                              <w:r w:rsidRPr="002245C3">
                                <w:rPr>
                                  <w:rFonts w:asciiTheme="minorHAnsi" w:hAnsiTheme="minorHAnsi" w:cstheme="minorBidi"/>
                                  <w:b/>
                                  <w:bCs/>
                                  <w:sz w:val="22"/>
                                  <w:szCs w:val="22"/>
                                </w:rPr>
                                <w:br/>
                              </w:r>
                              <w:r w:rsidRPr="002245C3">
                                <w:rPr>
                                  <w:rFonts w:asciiTheme="minorHAnsi" w:hAnsiTheme="minorHAnsi"/>
                                  <w:sz w:val="18"/>
                                  <w:szCs w:val="18"/>
                                </w:rPr>
                                <w:t>The value generated, and jobs supported in domestic industries that supply the sector</w:t>
                              </w:r>
                              <w:r w:rsidR="00FB21CF">
                                <w:rPr>
                                  <w:rFonts w:asciiTheme="minorHAnsi" w:hAnsiTheme="minorHAnsi"/>
                                  <w:sz w:val="18"/>
                                  <w:szCs w:val="18"/>
                                </w:rPr>
                                <w:t>.</w:t>
                              </w:r>
                            </w:p>
                          </w:txbxContent>
                        </v:textbox>
                      </v:shape>
                    </v:group>
                  </v:group>
                  <v:shape id="Text Box 302" o:spid="_x0000_s1036" type="#_x0000_t202" style="position:absolute;left:34247;top:8394;width:16098;height:19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5A251DE8" w14:textId="7DB9E666" w:rsidR="00F34F1A" w:rsidRPr="002245C3" w:rsidRDefault="00F34F1A" w:rsidP="00876C5F">
                          <w:pPr>
                            <w:pStyle w:val="NormalWeb"/>
                            <w:rPr>
                              <w:rFonts w:asciiTheme="minorHAnsi" w:hAnsiTheme="minorHAnsi"/>
                              <w:sz w:val="18"/>
                              <w:szCs w:val="18"/>
                            </w:rPr>
                          </w:pPr>
                          <w:r w:rsidRPr="002245C3">
                            <w:rPr>
                              <w:rFonts w:asciiTheme="minorHAnsi" w:hAnsiTheme="minorHAnsi"/>
                              <w:b/>
                              <w:bCs/>
                              <w:sz w:val="22"/>
                              <w:szCs w:val="22"/>
                            </w:rPr>
                            <w:t>(3) Induced impact</w:t>
                          </w:r>
                          <w:r w:rsidRPr="002245C3">
                            <w:rPr>
                              <w:rFonts w:asciiTheme="minorHAnsi" w:hAnsiTheme="minorHAnsi"/>
                              <w:b/>
                              <w:bCs/>
                              <w:sz w:val="18"/>
                              <w:szCs w:val="22"/>
                            </w:rPr>
                            <w:br/>
                          </w:r>
                          <w:r w:rsidRPr="002245C3">
                            <w:rPr>
                              <w:rFonts w:asciiTheme="minorHAnsi" w:hAnsiTheme="minorHAnsi"/>
                              <w:sz w:val="18"/>
                              <w:szCs w:val="18"/>
                            </w:rPr>
                            <w:t xml:space="preserve">The value generated, and jobs supported in the wider economy when employees associated with direct &amp; indirect impacts spend their earnings in </w:t>
                          </w:r>
                          <w:r w:rsidR="00BF1792" w:rsidRPr="002245C3">
                            <w:rPr>
                              <w:rFonts w:asciiTheme="minorHAnsi" w:hAnsiTheme="minorHAnsi"/>
                              <w:sz w:val="18"/>
                              <w:szCs w:val="18"/>
                            </w:rPr>
                            <w:t xml:space="preserve">the </w:t>
                          </w:r>
                          <w:r w:rsidRPr="002245C3">
                            <w:rPr>
                              <w:rFonts w:asciiTheme="minorHAnsi" w:hAnsiTheme="minorHAnsi"/>
                              <w:sz w:val="18"/>
                              <w:szCs w:val="18"/>
                            </w:rPr>
                            <w:t>wider economy.</w:t>
                          </w:r>
                        </w:p>
                        <w:p w14:paraId="5CF92984" w14:textId="77777777" w:rsidR="00F34F1A" w:rsidRPr="002245C3" w:rsidRDefault="00F34F1A" w:rsidP="00E25697">
                          <w:pPr>
                            <w:pStyle w:val="NormalWeb"/>
                            <w:rPr>
                              <w:rFonts w:asciiTheme="minorHAnsi" w:hAnsiTheme="minorHAnsi"/>
                              <w:sz w:val="18"/>
                              <w:szCs w:val="18"/>
                            </w:rPr>
                          </w:pPr>
                        </w:p>
                      </w:txbxContent>
                    </v:textbox>
                  </v:shape>
                </v:group>
                <v:shape id="Text Box 306" o:spid="_x0000_s1037" type="#_x0000_t202" style="position:absolute;left:10882;top:2608;width:34481;height:4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LnxgAAANsAAAAPAAAAZHJzL2Rvd25yZXYueG1sRI9Ba8JA&#10;FITvQv/D8grezEahEtKsIgFpKfagzaW31+wzCWbfptltkvbXdwXB4zAz3zDZdjKtGKh3jWUFyygG&#10;QVxa3XCloPjYLxIQziNrbC2Tgl9ysN08zDJMtR35SMPJVyJA2KWooPa+S6V0ZU0GXWQ74uCdbW/Q&#10;B9lXUvc4Brhp5SqO19Jgw2Ghxo7ymsrL6ccoeMv373j8Wpnkr81fDudd9118Pik1f5x2zyA8Tf4e&#10;vrVftYJkDdcv4QfIzT8AAAD//wMAUEsBAi0AFAAGAAgAAAAhANvh9svuAAAAhQEAABMAAAAAAAAA&#10;AAAAAAAAAAAAAFtDb250ZW50X1R5cGVzXS54bWxQSwECLQAUAAYACAAAACEAWvQsW78AAAAVAQAA&#10;CwAAAAAAAAAAAAAAAAAfAQAAX3JlbHMvLnJlbHNQSwECLQAUAAYACAAAACEA3Liy58YAAADbAAAA&#10;DwAAAAAAAAAAAAAAAAAHAgAAZHJzL2Rvd25yZXYueG1sUEsFBgAAAAADAAMAtwAAAPoCAAAAAA==&#10;" filled="f" stroked="f" strokeweight=".5pt">
                  <v:textbox>
                    <w:txbxContent>
                      <w:p w14:paraId="5B4463B7" w14:textId="17018168" w:rsidR="00F34F1A" w:rsidRPr="002245C3" w:rsidRDefault="00F34F1A" w:rsidP="00E25697">
                        <w:pPr>
                          <w:pStyle w:val="NormalWeb"/>
                          <w:rPr>
                            <w:rFonts w:asciiTheme="minorHAnsi" w:hAnsiTheme="minorHAnsi"/>
                          </w:rPr>
                        </w:pPr>
                      </w:p>
                    </w:txbxContent>
                  </v:textbox>
                </v:shape>
                <w10:wrap type="topAndBottom"/>
              </v:group>
            </w:pict>
          </mc:Fallback>
        </mc:AlternateContent>
      </w:r>
    </w:p>
    <w:p w14:paraId="4EA706BB" w14:textId="77777777" w:rsidR="00B2690C" w:rsidRPr="001736D0" w:rsidRDefault="00B2690C" w:rsidP="00E25697">
      <w:r w:rsidRPr="001736D0">
        <w:t xml:space="preserve">Aggregate Impact = </w:t>
      </w:r>
      <w:r w:rsidRPr="00B2690C">
        <w:rPr>
          <w:color w:val="165BAA" w:themeColor="text2"/>
        </w:rPr>
        <w:t>Direct</w:t>
      </w:r>
      <w:r w:rsidRPr="001736D0">
        <w:rPr>
          <w:color w:val="024A53"/>
        </w:rPr>
        <w:t xml:space="preserve"> </w:t>
      </w:r>
      <w:r w:rsidRPr="001736D0">
        <w:t xml:space="preserve">+ </w:t>
      </w:r>
      <w:r w:rsidRPr="00B2690C">
        <w:rPr>
          <w:color w:val="00B9E8" w:themeColor="accent2"/>
        </w:rPr>
        <w:t>Indirect</w:t>
      </w:r>
      <w:r w:rsidRPr="001736D0">
        <w:rPr>
          <w:color w:val="037E8B"/>
        </w:rPr>
        <w:t xml:space="preserve"> </w:t>
      </w:r>
      <w:r w:rsidRPr="001736D0">
        <w:t xml:space="preserve">+ </w:t>
      </w:r>
      <w:r w:rsidRPr="00B2690C">
        <w:rPr>
          <w:color w:val="C49FDB" w:themeColor="accent5" w:themeTint="66"/>
        </w:rPr>
        <w:t xml:space="preserve">Induced </w:t>
      </w:r>
      <w:r w:rsidRPr="001736D0">
        <w:t>Impacts</w:t>
      </w:r>
    </w:p>
    <w:p w14:paraId="3712D9F4" w14:textId="77777777" w:rsidR="00625A9A" w:rsidRDefault="00625A9A" w:rsidP="0098432C">
      <w:pPr>
        <w:pStyle w:val="ListParagraph"/>
        <w:jc w:val="both"/>
      </w:pPr>
    </w:p>
    <w:p w14:paraId="058DBBDA" w14:textId="70326713" w:rsidR="001C2888" w:rsidRDefault="001C2888">
      <w:pPr>
        <w:jc w:val="both"/>
        <w:rPr>
          <w:kern w:val="2"/>
          <w14:ligatures w14:val="standardContextual"/>
        </w:rPr>
      </w:pPr>
      <w:r>
        <w:t xml:space="preserve">To estimate the economic contributions associated with indirect and induced effects, all direct-impact activity is mapped to Standard Industrial Classification (SIC) codes. These codes enable us to apply a bespoke input-output (I-O) model based on the UK’s national accounting framework, published by the Office for National Statistics (ONS). The model uses data on the supply-chain spending patterns of activities taking place on </w:t>
      </w:r>
      <w:r w:rsidR="00C3126A">
        <w:t>Canal &amp; River Trust</w:t>
      </w:r>
      <w:r>
        <w:t xml:space="preserve">-managed waterways to trace how this demand flows through the wider economy, linking direct spending to the associated indirect and induced impacts. While the model draws on ONS input-output tables as a structural foundation, the aggregate results are produced through Cebr’s bespoke I-O model, tailored to reflect the nature and scale of </w:t>
      </w:r>
      <w:r w:rsidR="00C3126A">
        <w:t>Canal &amp; River Trust</w:t>
      </w:r>
      <w:r>
        <w:t xml:space="preserve">-related activity. This approach ensures that the outputs </w:t>
      </w:r>
      <w:r w:rsidR="00022BE0">
        <w:t>show</w:t>
      </w:r>
      <w:r>
        <w:t xml:space="preserve"> the distinctive economic structure and sectoral mix of the </w:t>
      </w:r>
      <w:r w:rsidR="00C3126A">
        <w:t>Canal &amp; River Trust</w:t>
      </w:r>
      <w:r>
        <w:t>’s operations, rather than relying on standardised economy-wide multipliers.</w:t>
      </w:r>
    </w:p>
    <w:p w14:paraId="28954828" w14:textId="7DF3A627" w:rsidR="001C2888" w:rsidRPr="00610CE5" w:rsidRDefault="001C2888">
      <w:pPr>
        <w:jc w:val="both"/>
      </w:pPr>
      <w:r>
        <w:t xml:space="preserve">The direct economic impact of the boating sector was estimated using the 2022–23 </w:t>
      </w:r>
      <w:r>
        <w:rPr>
          <w:i/>
          <w:iCs/>
        </w:rPr>
        <w:t>Economic Benefits of the Leisure, Superyacht &amp; Small Commercial Marine Industry</w:t>
      </w:r>
      <w:r>
        <w:t xml:space="preserve"> report produced by British Marine. This report includes a disaggregation between inland and coastal activity, allowing the analysis to isolate the economic contribution attributable to inland waterways and, more importantly, to identify the contribution of </w:t>
      </w:r>
      <w:r w:rsidR="00C3126A">
        <w:t>Canal &amp; River Trust</w:t>
      </w:r>
      <w:r w:rsidR="00270AED">
        <w:t>’s canal network</w:t>
      </w:r>
      <w:r>
        <w:t>.</w:t>
      </w:r>
    </w:p>
    <w:p w14:paraId="400ABD38" w14:textId="177A6402" w:rsidR="001C2888" w:rsidRDefault="001C2888">
      <w:pPr>
        <w:jc w:val="both"/>
        <w:rPr>
          <w:kern w:val="2"/>
          <w14:ligatures w14:val="standardContextual"/>
        </w:rPr>
      </w:pPr>
      <w:r>
        <w:t xml:space="preserve">The direct economic impact of towpath visitors was estimated using the Waterways Engagement Monitor </w:t>
      </w:r>
      <w:r w:rsidR="00FF5CE5">
        <w:t>s</w:t>
      </w:r>
      <w:r>
        <w:t xml:space="preserve">urvey and the Inland Waterways Visitor Survey. Together, these nationally representative surveys of adults living in England and Wales provide information on the number of visits to waterways, the activities undertaken </w:t>
      </w:r>
      <w:r w:rsidR="00203662">
        <w:t xml:space="preserve">in them </w:t>
      </w:r>
      <w:r>
        <w:t>and</w:t>
      </w:r>
      <w:r w:rsidR="00203662">
        <w:t xml:space="preserve"> the</w:t>
      </w:r>
      <w:r>
        <w:t xml:space="preserve"> associated spending.</w:t>
      </w:r>
    </w:p>
    <w:p w14:paraId="002C3E78" w14:textId="671D7466" w:rsidR="001C2888" w:rsidRDefault="001C2888">
      <w:pPr>
        <w:jc w:val="both"/>
        <w:rPr>
          <w:kern w:val="2"/>
          <w14:ligatures w14:val="standardContextual"/>
        </w:rPr>
      </w:pPr>
      <w:r>
        <w:t xml:space="preserve">To estimate international tourist visits to Canal &amp; River </w:t>
      </w:r>
      <w:r w:rsidR="00C3126A">
        <w:t>Trust</w:t>
      </w:r>
      <w:r>
        <w:t xml:space="preserve"> towpaths, we applied an innovative evidence-based approach adapted from previous work by Borowiecki et al. (2025), published in the peer-reviewed journal </w:t>
      </w:r>
      <w:r>
        <w:rPr>
          <w:i/>
          <w:iCs/>
        </w:rPr>
        <w:t>Tourism Economics</w:t>
      </w:r>
      <w:r>
        <w:t xml:space="preserve">. Publicly available information from TripAdvisor reviews was used to estimate the proportion of waterway visitors who are international, by identifying the country of residence of reviewers across </w:t>
      </w:r>
      <w:r w:rsidR="00C3126A">
        <w:t>Canal &amp; River Trust</w:t>
      </w:r>
      <w:r>
        <w:t xml:space="preserve"> waterways. These international visitor shares were then applied to established domestic visit counts from the Waterways Engagement Monitor, adjusted to reflect tourism-like visits.</w:t>
      </w:r>
      <w:r w:rsidR="00F70B20">
        <w:t xml:space="preserve"> </w:t>
      </w:r>
    </w:p>
    <w:p w14:paraId="391476C8" w14:textId="154F4F00" w:rsidR="001C2888" w:rsidRDefault="001C2888">
      <w:pPr>
        <w:jc w:val="both"/>
        <w:rPr>
          <w:kern w:val="2"/>
          <w14:ligatures w14:val="standardContextual"/>
        </w:rPr>
      </w:pPr>
      <w:r>
        <w:t xml:space="preserve">Estimates of spending per international visitor, based on visit activity and the Inland Waterways Visitor Survey produced by the Canal &amp; River </w:t>
      </w:r>
      <w:r w:rsidR="00022BE0">
        <w:t>Trust</w:t>
      </w:r>
      <w:r>
        <w:t>, were then applied to the total tourism estimates before being input into Cebr’s I-O model, as described above. This approach allows international tourism to waterways to be incorporated in a manner that is consistent with, and additive to, existing domestic visitor estimates, while remaining conservative by focusing only on spending directly attributable to waterway visits. British Marine data already capture international tourism associated with inland boating activities; this was therefore excluded from the activities international tourists can undertake, to avoid double-counting within the boating-sector economic impact estimates.</w:t>
      </w:r>
    </w:p>
    <w:p w14:paraId="016C6B21" w14:textId="4D5B5001" w:rsidR="001C2888" w:rsidRDefault="001C2888">
      <w:pPr>
        <w:jc w:val="both"/>
        <w:rPr>
          <w:kern w:val="2"/>
          <w14:ligatures w14:val="standardContextual"/>
        </w:rPr>
      </w:pPr>
      <w:r>
        <w:t>To validate the international tourism estimates, we compared them with the share of international tourism recorded through fieldwork at Pocklington Canal, Dundas Aqueduct, Pontcysyllte Aqueduct and Birmingham</w:t>
      </w:r>
      <w:r w:rsidR="00FF5CE5">
        <w:t>’s</w:t>
      </w:r>
      <w:r>
        <w:t xml:space="preserve"> </w:t>
      </w:r>
      <w:r w:rsidR="00FF5CE5">
        <w:t>c</w:t>
      </w:r>
      <w:r>
        <w:t>anal</w:t>
      </w:r>
      <w:r w:rsidR="00FF5CE5">
        <w:t>s</w:t>
      </w:r>
      <w:r>
        <w:t xml:space="preserve"> between June and October 2025. The results were very close to those obtained from the TripAdvisor reviews. Further data-quality validation was carried out by comparing the seasonal trends in TripAdvisor </w:t>
      </w:r>
      <w:r>
        <w:lastRenderedPageBreak/>
        <w:t xml:space="preserve">reviews, among both domestic and international reviewers, with the corresponding patterns for domestic tourists in the Great Britain Tourism Survey (GBTS) and international tourists in the International Passenger Survey (IPS). </w:t>
      </w:r>
    </w:p>
    <w:p w14:paraId="50BEFAD5" w14:textId="09B2019F" w:rsidR="00C3126A" w:rsidRDefault="001C2888" w:rsidP="00C3126A">
      <w:pPr>
        <w:pStyle w:val="BodyText"/>
        <w:rPr>
          <w:kern w:val="2"/>
          <w:szCs w:val="20"/>
          <w14:ligatures w14:val="standardContextual"/>
        </w:rPr>
      </w:pPr>
      <w:r>
        <w:t xml:space="preserve">Within this report, results are disaggregated to show </w:t>
      </w:r>
      <w:r w:rsidRPr="00FA1EFB">
        <w:t>national and regional</w:t>
      </w:r>
      <w:r>
        <w:t xml:space="preserve"> patterns in the impact of </w:t>
      </w:r>
      <w:r w:rsidR="00C3126A">
        <w:t>Canal &amp; River Trust</w:t>
      </w:r>
      <w:r>
        <w:t>-managed waterways.</w:t>
      </w:r>
      <w:r w:rsidR="00C3126A">
        <w:t xml:space="preserve"> The Canal &amp; River Trust operates within six self-defined regional boundaries, which we applied for regional reporting: London &amp; South East, Yorkshire &amp; North East, East Midlands, North West, West Midlands, and Wales &amp; South West. Please see Map 1.</w:t>
      </w:r>
    </w:p>
    <w:p w14:paraId="1FFE969A" w14:textId="49A9A7B4" w:rsidR="001C2888" w:rsidRDefault="001C2888"/>
    <w:p w14:paraId="329EB712" w14:textId="206F110A" w:rsidR="00C3126A" w:rsidRPr="002245C3" w:rsidRDefault="00C3126A" w:rsidP="00C3126A">
      <w:pPr>
        <w:rPr>
          <w:b/>
          <w:bCs/>
        </w:rPr>
      </w:pPr>
      <w:r>
        <w:rPr>
          <w:b/>
          <w:bCs/>
        </w:rPr>
        <w:t>Map</w:t>
      </w:r>
      <w:r w:rsidRPr="002245C3">
        <w:rPr>
          <w:b/>
          <w:bCs/>
        </w:rPr>
        <w:t xml:space="preserve"> </w:t>
      </w:r>
      <w:r w:rsidRPr="002245C3">
        <w:rPr>
          <w:b/>
          <w:bCs/>
        </w:rPr>
        <w:fldChar w:fldCharType="begin"/>
      </w:r>
      <w:r w:rsidRPr="002245C3">
        <w:rPr>
          <w:b/>
          <w:bCs/>
        </w:rPr>
        <w:instrText xml:space="preserve"> SEQ Figure \* ARABIC </w:instrText>
      </w:r>
      <w:r w:rsidRPr="002245C3">
        <w:rPr>
          <w:b/>
          <w:bCs/>
        </w:rPr>
        <w:fldChar w:fldCharType="separate"/>
      </w:r>
      <w:r w:rsidRPr="002245C3">
        <w:rPr>
          <w:b/>
          <w:bCs/>
          <w:noProof/>
        </w:rPr>
        <w:t>1</w:t>
      </w:r>
      <w:r w:rsidRPr="002245C3">
        <w:rPr>
          <w:b/>
          <w:bCs/>
          <w:noProof/>
        </w:rPr>
        <w:fldChar w:fldCharType="end"/>
      </w:r>
      <w:r w:rsidRPr="002245C3">
        <w:rPr>
          <w:b/>
          <w:bCs/>
        </w:rPr>
        <w:t xml:space="preserve">: </w:t>
      </w:r>
      <w:r>
        <w:rPr>
          <w:b/>
          <w:bCs/>
        </w:rPr>
        <w:t>Canal &amp; River</w:t>
      </w:r>
      <w:r w:rsidR="007A71B7">
        <w:rPr>
          <w:b/>
          <w:bCs/>
        </w:rPr>
        <w:t xml:space="preserve"> Trust </w:t>
      </w:r>
      <w:r>
        <w:rPr>
          <w:b/>
          <w:bCs/>
        </w:rPr>
        <w:t>canal network and regions</w:t>
      </w:r>
    </w:p>
    <w:p w14:paraId="5294D43B" w14:textId="77777777" w:rsidR="00C3126A" w:rsidRDefault="00C3126A"/>
    <w:p w14:paraId="2CE5AA2E" w14:textId="44F6E09D" w:rsidR="00C3126A" w:rsidRDefault="00C3126A">
      <w:pPr>
        <w:rPr>
          <w:kern w:val="2"/>
          <w14:ligatures w14:val="standardContextual"/>
        </w:rPr>
      </w:pPr>
      <w:r w:rsidRPr="00925DB1">
        <w:rPr>
          <w:noProof/>
        </w:rPr>
        <w:drawing>
          <wp:inline distT="0" distB="0" distL="0" distR="0" wp14:anchorId="4E13B064" wp14:editId="6462BF7F">
            <wp:extent cx="5486400" cy="5448120"/>
            <wp:effectExtent l="0" t="0" r="0" b="635"/>
            <wp:docPr id="1116110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10041" name=""/>
                    <pic:cNvPicPr/>
                  </pic:nvPicPr>
                  <pic:blipFill>
                    <a:blip r:embed="rId12">
                      <a:extLst>
                        <a:ext uri="{BEBA8EAE-BF5A-486C-A8C5-ECC9F3942E4B}">
                          <a14:imgProps xmlns:a14="http://schemas.microsoft.com/office/drawing/2010/main">
                            <a14:imgLayer r:embed="rId13">
                              <a14:imgEffect>
                                <a14:backgroundRemoval t="282" b="99577" l="6303" r="89916">
                                  <a14:foregroundMark x1="19468" y1="88011" x2="7423" y2="95063"/>
                                  <a14:foregroundMark x1="7423" y1="95063" x2="36695" y2="96897"/>
                                  <a14:foregroundMark x1="36695" y1="96897" x2="34734" y2="89704"/>
                                  <a14:foregroundMark x1="34734" y1="89704" x2="33894" y2="89422"/>
                                  <a14:foregroundMark x1="79972" y1="74189" x2="81513" y2="70663"/>
                                  <a14:foregroundMark x1="81373" y1="73061" x2="82353" y2="71509"/>
                                  <a14:foregroundMark x1="57563" y1="19746" x2="58964" y2="21157"/>
                                  <a14:foregroundMark x1="57843" y1="19605" x2="61625" y2="19323"/>
                                  <a14:foregroundMark x1="61485" y1="19746" x2="61485" y2="19746"/>
                                  <a14:foregroundMark x1="61765" y1="20451" x2="61765" y2="20451"/>
                                  <a14:foregroundMark x1="61765" y1="20451" x2="61765" y2="20451"/>
                                  <a14:foregroundMark x1="61204" y1="21298" x2="61204" y2="21298"/>
                                  <a14:foregroundMark x1="60644" y1="21157" x2="60644" y2="21157"/>
                                  <a14:foregroundMark x1="60364" y1="21157" x2="62885" y2="21157"/>
                                  <a14:foregroundMark x1="54622" y1="12412" x2="56583" y2="15656"/>
                                  <a14:foregroundMark x1="42717" y1="9732" x2="47479" y2="564"/>
                                  <a14:foregroundMark x1="47479" y1="564" x2="53782" y2="4654"/>
                                  <a14:foregroundMark x1="53782" y1="4654" x2="53221" y2="10296"/>
                                  <a14:foregroundMark x1="54202" y1="4937" x2="51401" y2="423"/>
                                  <a14:foregroundMark x1="7563" y1="95063" x2="6303" y2="99577"/>
                                  <a14:foregroundMark x1="16246" y1="71368" x2="14006" y2="67278"/>
                                  <a14:foregroundMark x1="15826" y1="71791" x2="13866" y2="66150"/>
                                  <a14:foregroundMark x1="15966" y1="72073" x2="14706" y2="67137"/>
                                  <a14:foregroundMark x1="14706" y1="68688" x2="13445" y2="70522"/>
                                  <a14:foregroundMark x1="13445" y1="68829" x2="13445" y2="68829"/>
                                  <a14:foregroundMark x1="26611" y1="59379" x2="27031" y2="54866"/>
                                  <a14:foregroundMark x1="27171" y1="54866" x2="25350" y2="60649"/>
                                  <a14:foregroundMark x1="25350" y1="60226" x2="22549" y2="58251"/>
                                  <a14:foregroundMark x1="23109" y1="57123" x2="23109" y2="57123"/>
                                  <a14:foregroundMark x1="22969" y1="56417" x2="22969" y2="56417"/>
                                  <a14:foregroundMark x1="23529" y1="56276" x2="23529" y2="56276"/>
                                  <a14:foregroundMark x1="23810" y1="56276" x2="23810" y2="56276"/>
                                  <a14:foregroundMark x1="24930" y1="56417" x2="24930" y2="56417"/>
                                  <a14:foregroundMark x1="25770" y1="56276" x2="25770" y2="56276"/>
                                  <a14:foregroundMark x1="25770" y1="56276" x2="25770" y2="56276"/>
                                  <a14:foregroundMark x1="26331" y1="56276" x2="26331" y2="56276"/>
                                  <a14:foregroundMark x1="26751" y1="41890" x2="34454" y2="41467"/>
                                  <a14:foregroundMark x1="34454" y1="41467" x2="35014" y2="41749"/>
                                  <a14:foregroundMark x1="34454" y1="41044" x2="26891" y2="41185"/>
                                  <a14:foregroundMark x1="26891" y1="41185" x2="26891" y2="41185"/>
                                  <a14:foregroundMark x1="26751" y1="41044" x2="30252" y2="40056"/>
                                  <a14:foregroundMark x1="31653" y1="40197" x2="31653" y2="40197"/>
                                  <a14:foregroundMark x1="36695" y1="75317" x2="39636" y2="74189"/>
                                  <a14:backgroundMark x1="420" y1="4372" x2="23950" y2="4231"/>
                                  <a14:backgroundMark x1="23950" y1="4231" x2="35434" y2="564"/>
                                  <a14:backgroundMark x1="35434" y1="564" x2="41597" y2="423"/>
                                  <a14:backgroundMark x1="34034" y1="5078" x2="16807" y2="5783"/>
                                  <a14:backgroundMark x1="16807" y1="5783" x2="8123" y2="3385"/>
                                  <a14:backgroundMark x1="58683" y1="99577" x2="91737" y2="97743"/>
                                  <a14:backgroundMark x1="91737" y1="97743" x2="89496" y2="98872"/>
                                </a14:backgroundRemoval>
                              </a14:imgEffect>
                            </a14:imgLayer>
                          </a14:imgProps>
                        </a:ext>
                      </a:extLst>
                    </a:blip>
                    <a:stretch>
                      <a:fillRect/>
                    </a:stretch>
                  </pic:blipFill>
                  <pic:spPr>
                    <a:xfrm>
                      <a:off x="0" y="0"/>
                      <a:ext cx="5502767" cy="5464372"/>
                    </a:xfrm>
                    <a:prstGeom prst="rect">
                      <a:avLst/>
                    </a:prstGeom>
                  </pic:spPr>
                </pic:pic>
              </a:graphicData>
            </a:graphic>
          </wp:inline>
        </w:drawing>
      </w:r>
    </w:p>
    <w:p w14:paraId="1B850B4C" w14:textId="77777777" w:rsidR="006E1A7A" w:rsidRDefault="005C235E" w:rsidP="00A35AA1">
      <w:pPr>
        <w:pStyle w:val="Heading1"/>
        <w:rPr>
          <w:b/>
          <w:bCs/>
          <w:color w:val="165BAA" w:themeColor="accent1"/>
        </w:rPr>
      </w:pPr>
      <w:r>
        <w:t>Key National Findings</w:t>
      </w:r>
    </w:p>
    <w:p w14:paraId="42024479" w14:textId="36F80A13" w:rsidR="001A5247" w:rsidRDefault="001C2888">
      <w:pPr>
        <w:jc w:val="both"/>
      </w:pPr>
      <w:r>
        <w:t xml:space="preserve">In 2022, activities taking place on and alongside the </w:t>
      </w:r>
      <w:r w:rsidR="00C3126A">
        <w:t>Canal &amp; River Trust</w:t>
      </w:r>
      <w:r>
        <w:t xml:space="preserve">’s waterways generated a total of £5.1 billion in direct Gross Value Added (GVA). </w:t>
      </w:r>
    </w:p>
    <w:p w14:paraId="19A81962" w14:textId="7B4C9D13" w:rsidR="00FB1A76" w:rsidRDefault="00FB1A76">
      <w:pPr>
        <w:jc w:val="both"/>
        <w:rPr>
          <w:kern w:val="2"/>
          <w14:ligatures w14:val="standardContextual"/>
        </w:rPr>
      </w:pPr>
      <w:r>
        <w:t>The largest share of this value (57%) is associated with towpath visitor activity, reflecting spending by people using the canal network for walking, cycling and other leisure activities</w:t>
      </w:r>
      <w:r w:rsidR="00022BE0">
        <w:t xml:space="preserve">. Please </w:t>
      </w:r>
      <w:r>
        <w:t>see Figure 2.</w:t>
      </w:r>
    </w:p>
    <w:p w14:paraId="3C5A8947" w14:textId="0564BE87" w:rsidR="001C2888" w:rsidRDefault="001C2888">
      <w:pPr>
        <w:jc w:val="both"/>
        <w:rPr>
          <w:kern w:val="2"/>
          <w14:ligatures w14:val="standardContextual"/>
        </w:rPr>
      </w:pPr>
      <w:r>
        <w:t>Boating-related activity accounts for a further 42% of direct GVA, the majority of which comes from wider visitor expenditure linked to boating, such as spending on accommodation, food and drink, and local transport, rather than from boating services alone.</w:t>
      </w:r>
    </w:p>
    <w:p w14:paraId="36549CD1" w14:textId="29476FBA" w:rsidR="001C2888" w:rsidRDefault="001C2888">
      <w:pPr>
        <w:jc w:val="both"/>
        <w:rPr>
          <w:kern w:val="2"/>
          <w14:ligatures w14:val="standardContextual"/>
        </w:rPr>
      </w:pPr>
      <w:r>
        <w:lastRenderedPageBreak/>
        <w:t xml:space="preserve">The construction and maintenance of waterways contribute the smallest share of GVA, at </w:t>
      </w:r>
      <w:r w:rsidR="002C006B">
        <w:t>less than 1</w:t>
      </w:r>
      <w:r>
        <w:t xml:space="preserve">%. This channel is based solely on the </w:t>
      </w:r>
      <w:r w:rsidR="00C3126A">
        <w:t>Canal &amp; River Trust</w:t>
      </w:r>
      <w:r>
        <w:t xml:space="preserve">’s direct annual expenditure on infrastructure works. This distribution reflects the nature of activities taking place on </w:t>
      </w:r>
      <w:r w:rsidR="00C3126A">
        <w:t>Canal &amp; River Trust</w:t>
      </w:r>
      <w:r>
        <w:t xml:space="preserve">-managed waterways. While the </w:t>
      </w:r>
      <w:r w:rsidR="00C3126A">
        <w:t>Canal &amp; River Trust</w:t>
      </w:r>
      <w:r>
        <w:t xml:space="preserve"> undertakes essential construction and maintenance work to preserve the canal network, these activities are relatively infrequent and concentrated in time and scope. By contrast, towpath and wider boating expenditure occurs continuously throughout the year and stimulates daily economic activity across a wide range of sectors, including food, accommodation, retail and transport.</w:t>
      </w:r>
    </w:p>
    <w:p w14:paraId="1BEF9C29" w14:textId="788734D5" w:rsidR="001C2888" w:rsidRDefault="001C2888">
      <w:pPr>
        <w:jc w:val="both"/>
        <w:rPr>
          <w:kern w:val="2"/>
          <w14:ligatures w14:val="standardContextual"/>
        </w:rPr>
      </w:pPr>
      <w:r>
        <w:t>While construction and maintenance contribute the smallest share of GVA, this does not imply a lack of economic importance. On the contrary, these activities are essential to ensuring that the canal network remains safe, accessible and attractive to visitors. Without this foundational work, the larger and more frequent boating- and towpath-related economic activity that generates the bulk of GVA would not be possible.</w:t>
      </w:r>
    </w:p>
    <w:p w14:paraId="29955E85" w14:textId="77777777" w:rsidR="006E1A7A" w:rsidRDefault="006E1A7A" w:rsidP="00E25697"/>
    <w:p w14:paraId="52E2E80F" w14:textId="1218D0D6" w:rsidR="00EB4B44" w:rsidRPr="004E3746" w:rsidRDefault="008A6465" w:rsidP="004E3746">
      <w:pPr>
        <w:rPr>
          <w:b/>
          <w:bCs/>
        </w:rPr>
      </w:pPr>
      <w:r w:rsidRPr="004E3746">
        <w:rPr>
          <w:b/>
          <w:bCs/>
          <w:lang w:eastAsia="zh-TW"/>
        </w:rPr>
        <w:t>Figure</w:t>
      </w:r>
      <w:r w:rsidR="00EB4B44" w:rsidRPr="004E3746">
        <w:rPr>
          <w:b/>
          <w:bCs/>
          <w:lang w:eastAsia="zh-TW"/>
        </w:rPr>
        <w:t xml:space="preserve"> </w:t>
      </w:r>
      <w:r w:rsidR="00E72734">
        <w:rPr>
          <w:b/>
          <w:bCs/>
          <w:lang w:eastAsia="zh-TW"/>
        </w:rPr>
        <w:t>2</w:t>
      </w:r>
      <w:r w:rsidR="00EB4B44" w:rsidRPr="004E3746">
        <w:rPr>
          <w:b/>
          <w:bCs/>
          <w:lang w:eastAsia="zh-TW"/>
        </w:rPr>
        <w:t xml:space="preserve">: </w:t>
      </w:r>
      <w:r w:rsidRPr="004E3746">
        <w:rPr>
          <w:b/>
          <w:bCs/>
          <w:lang w:eastAsia="zh-TW"/>
        </w:rPr>
        <w:t>Breakdown of direct GVA by economic impact channel, 2022</w:t>
      </w:r>
    </w:p>
    <w:p w14:paraId="66D3A33B" w14:textId="6E2AEC63" w:rsidR="00A24777" w:rsidRPr="00F6266A" w:rsidRDefault="00646391" w:rsidP="004E3746">
      <w:r w:rsidRPr="00B71190">
        <w:rPr>
          <w:noProof/>
          <w:color w:val="EE0000"/>
        </w:rPr>
        <mc:AlternateContent>
          <mc:Choice Requires="wps">
            <w:drawing>
              <wp:anchor distT="45720" distB="45720" distL="114300" distR="114300" simplePos="0" relativeHeight="251655680" behindDoc="0" locked="0" layoutInCell="1" allowOverlap="1" wp14:anchorId="1095FAF6" wp14:editId="64C96889">
                <wp:simplePos x="0" y="0"/>
                <wp:positionH relativeFrom="column">
                  <wp:posOffset>1517015</wp:posOffset>
                </wp:positionH>
                <wp:positionV relativeFrom="paragraph">
                  <wp:posOffset>1131570</wp:posOffset>
                </wp:positionV>
                <wp:extent cx="927100" cy="1404620"/>
                <wp:effectExtent l="0" t="0" r="6350" b="0"/>
                <wp:wrapNone/>
                <wp:docPr id="1629350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1404620"/>
                        </a:xfrm>
                        <a:prstGeom prst="rect">
                          <a:avLst/>
                        </a:prstGeom>
                        <a:solidFill>
                          <a:srgbClr val="FFFFFF"/>
                        </a:solidFill>
                        <a:ln w="9525">
                          <a:noFill/>
                          <a:miter lim="800000"/>
                          <a:headEnd/>
                          <a:tailEnd/>
                        </a:ln>
                      </wps:spPr>
                      <wps:txbx>
                        <w:txbxContent>
                          <w:p w14:paraId="7CE5E069" w14:textId="77777777" w:rsidR="00646391" w:rsidRPr="004E3746" w:rsidRDefault="00646391" w:rsidP="004E3746">
                            <w:pPr>
                              <w:jc w:val="center"/>
                              <w:rPr>
                                <w:b/>
                                <w:bCs/>
                                <w:sz w:val="28"/>
                                <w:szCs w:val="28"/>
                              </w:rPr>
                            </w:pPr>
                            <w:r w:rsidRPr="004E3746">
                              <w:rPr>
                                <w:b/>
                                <w:bCs/>
                                <w:sz w:val="28"/>
                                <w:szCs w:val="28"/>
                              </w:rPr>
                              <w:t xml:space="preserve">Total: </w:t>
                            </w:r>
                            <w:r w:rsidRPr="004E3746">
                              <w:rPr>
                                <w:b/>
                                <w:bCs/>
                                <w:sz w:val="28"/>
                                <w:szCs w:val="28"/>
                              </w:rPr>
                              <w:br/>
                              <w:t>£5.1bn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95FAF6" id="_x0000_s1038" type="#_x0000_t202" style="position:absolute;margin-left:119.45pt;margin-top:89.1pt;width:73pt;height:110.6pt;z-index:25165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DoiEAIAAP0DAAAOAAAAZHJzL2Uyb0RvYy54bWysk9uO2yAQhu8r9R0Q943tKNmDFWe1zTZV&#10;pe1B2vYBMMYxKmboQGKnT98BZ7PR9q6qLxB44Gfmm5/V3dgbdlDoNdiKF7OcM2UlNNruKv7j+/bd&#10;DWc+CNsIA1ZV/Kg8v1u/fbMaXKnm0IFpFDISsb4cXMW7EFyZZV52qhd+Bk5ZCraAvQi0xF3WoBhI&#10;vTfZPM+vsgGwcQhSeU9/H6YgXyf9tlUyfG1brwIzFafcQhoxjXUcs/VKlDsUrtPylIb4hyx6oS1d&#10;epZ6EEGwPeq/pHotETy0YSahz6BttVSpBqqmyF9V89QJp1ItBMe7Myb//2Tll8OT+4YsjO9hpAam&#10;Irx7BPnTMwubTtidukeEoVOioYuLiCwbnC9PRyNqX/ooUg+foaEmi32AJDS22EcqVCcjdWrA8Qxd&#10;jYFJ+nk7vy5yikgKFYt8cTVPXclE+XzaoQ8fFfQsTiqO1NSkLg6PPsRsRPm8JV7mwehmq41JC9zV&#10;G4PsIMgA2/SlAl5tM5YNlMpyvkzKFuL55I1eBzKo0X3Fb/L4TZaJND7YJm0JQptpTpkYe8ITiUxs&#10;wliPTDcVX8azkVYNzZF4IUx+pPdDkw7wN2cDebHi/tdeoOLMfLLE/LZYLKJ502KxvCZCDC8j9WVE&#10;WElSFQ+cTdNNSIZPONw99WarE7aXTE4pk8cSzdN7iCa+XKddL692/QcAAP//AwBQSwMEFAAGAAgA&#10;AAAhANvDDX7gAAAACwEAAA8AAABkcnMvZG93bnJldi54bWxMj8FOwzAQRO9I/IO1SNyoQ1ogCXGq&#10;iooLB6QWpPboxk4cEa8t203D37Oc4La7M5p9U69nO7JJhzg4FHC/yIBpbJ0asBfw+fF6VwCLSaKS&#10;o0Mt4FtHWDfXV7WslLvgTk/71DMKwVhJASYlX3EeW6OtjAvnNZLWuWBlojX0XAV5oXA78jzLHrmV&#10;A9IHI71+Mbr92p+tgIM1g9qG92Onxmn71m0e/By8ELc38+YZWNJz+jPDLz6hQ0NMJ3dGFdkoIF8W&#10;JVlJeCpyYORYFiu6nGgoyxXwpub/OzQ/AAAA//8DAFBLAQItABQABgAIAAAAIQC2gziS/gAAAOEB&#10;AAATAAAAAAAAAAAAAAAAAAAAAABbQ29udGVudF9UeXBlc10ueG1sUEsBAi0AFAAGAAgAAAAhADj9&#10;If/WAAAAlAEAAAsAAAAAAAAAAAAAAAAALwEAAF9yZWxzLy5yZWxzUEsBAi0AFAAGAAgAAAAhAOWo&#10;OiIQAgAA/QMAAA4AAAAAAAAAAAAAAAAALgIAAGRycy9lMm9Eb2MueG1sUEsBAi0AFAAGAAgAAAAh&#10;ANvDDX7gAAAACwEAAA8AAAAAAAAAAAAAAAAAagQAAGRycy9kb3ducmV2LnhtbFBLBQYAAAAABAAE&#10;APMAAAB3BQAAAAA=&#10;" stroked="f">
                <v:textbox style="mso-fit-shape-to-text:t">
                  <w:txbxContent>
                    <w:p w14:paraId="7CE5E069" w14:textId="77777777" w:rsidR="00646391" w:rsidRPr="004E3746" w:rsidRDefault="00646391" w:rsidP="004E3746">
                      <w:pPr>
                        <w:jc w:val="center"/>
                        <w:rPr>
                          <w:b/>
                          <w:bCs/>
                          <w:sz w:val="28"/>
                          <w:szCs w:val="28"/>
                        </w:rPr>
                      </w:pPr>
                      <w:r w:rsidRPr="004E3746">
                        <w:rPr>
                          <w:b/>
                          <w:bCs/>
                          <w:sz w:val="28"/>
                          <w:szCs w:val="28"/>
                        </w:rPr>
                        <w:t xml:space="preserve">Total: </w:t>
                      </w:r>
                      <w:r w:rsidRPr="004E3746">
                        <w:rPr>
                          <w:b/>
                          <w:bCs/>
                          <w:sz w:val="28"/>
                          <w:szCs w:val="28"/>
                        </w:rPr>
                        <w:br/>
                        <w:t>£5.1bn</w:t>
                      </w:r>
                    </w:p>
                  </w:txbxContent>
                </v:textbox>
              </v:shape>
            </w:pict>
          </mc:Fallback>
        </mc:AlternateContent>
      </w:r>
      <w:r w:rsidR="005F15D8" w:rsidRPr="00B71190">
        <w:rPr>
          <w:noProof/>
          <w:color w:val="EE0000"/>
        </w:rPr>
        <mc:AlternateContent>
          <mc:Choice Requires="wps">
            <w:drawing>
              <wp:anchor distT="45720" distB="45720" distL="114300" distR="114300" simplePos="0" relativeHeight="251651584" behindDoc="0" locked="0" layoutInCell="1" allowOverlap="1" wp14:anchorId="2D9F9BC6" wp14:editId="6CF353F1">
                <wp:simplePos x="0" y="0"/>
                <wp:positionH relativeFrom="column">
                  <wp:posOffset>1517015</wp:posOffset>
                </wp:positionH>
                <wp:positionV relativeFrom="paragraph">
                  <wp:posOffset>1131570</wp:posOffset>
                </wp:positionV>
                <wp:extent cx="927100" cy="1404620"/>
                <wp:effectExtent l="0" t="0" r="635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1404620"/>
                        </a:xfrm>
                        <a:prstGeom prst="rect">
                          <a:avLst/>
                        </a:prstGeom>
                        <a:solidFill>
                          <a:srgbClr val="FFFFFF"/>
                        </a:solidFill>
                        <a:ln w="9525">
                          <a:noFill/>
                          <a:miter lim="800000"/>
                          <a:headEnd/>
                          <a:tailEnd/>
                        </a:ln>
                      </wps:spPr>
                      <wps:txbx>
                        <w:txbxContent>
                          <w:p w14:paraId="51A6DD49" w14:textId="611374C9" w:rsidR="00B71190" w:rsidRPr="004E3746" w:rsidRDefault="00B71190" w:rsidP="004E3746">
                            <w:pPr>
                              <w:jc w:val="center"/>
                              <w:rPr>
                                <w:b/>
                                <w:bCs/>
                                <w:sz w:val="28"/>
                                <w:szCs w:val="28"/>
                              </w:rPr>
                            </w:pPr>
                            <w:r w:rsidRPr="004E3746">
                              <w:rPr>
                                <w:b/>
                                <w:bCs/>
                                <w:sz w:val="28"/>
                                <w:szCs w:val="28"/>
                              </w:rPr>
                              <w:t xml:space="preserve">Total: </w:t>
                            </w:r>
                            <w:r w:rsidR="005F15D8" w:rsidRPr="004E3746">
                              <w:rPr>
                                <w:b/>
                                <w:bCs/>
                                <w:sz w:val="28"/>
                                <w:szCs w:val="28"/>
                              </w:rPr>
                              <w:br/>
                            </w:r>
                            <w:r w:rsidRPr="004E3746">
                              <w:rPr>
                                <w:b/>
                                <w:bCs/>
                                <w:sz w:val="28"/>
                                <w:szCs w:val="28"/>
                              </w:rPr>
                              <w:t>£5</w:t>
                            </w:r>
                            <w:r w:rsidR="005F15D8" w:rsidRPr="004E3746">
                              <w:rPr>
                                <w:b/>
                                <w:bCs/>
                                <w:sz w:val="28"/>
                                <w:szCs w:val="28"/>
                              </w:rPr>
                              <w:t>.1bn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9F9BC6" id="_x0000_s1039" type="#_x0000_t202" style="position:absolute;margin-left:119.45pt;margin-top:89.1pt;width:73pt;height:110.6pt;z-index:251651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jjEQIAAP0DAAAOAAAAZHJzL2Uyb0RvYy54bWysk99u2yAUxu8n7R0Q94vtKElbK07Vpcs0&#10;qfsjdXsAjHGMhjnsQGJ3T78DTtOou5vmCwQ+8HHO73ysb8fesKNCr8FWvJjlnCkrodF2X/Ef33fv&#10;rjnzQdhGGLCq4k/K89vN2zfrwZVqDh2YRiEjEevLwVW8C8GVWeZlp3rhZ+CUpWAL2ItAS9xnDYqB&#10;1HuTzfN8lQ2AjUOQynv6ez8F+Sbpt62S4WvbehWYqTjlFtKIaazjmG3WotyjcJ2WpzTEP2TRC23p&#10;0rPUvQiCHVD/JdVrieChDTMJfQZtq6VKNVA1Rf6qmsdOOJVqITjenTH5/ycrvxwf3TdkYXwPIzUw&#10;FeHdA8ifnlnYdsLu1R0iDJ0SDV1cRGTZ4Hx5OhpR+9JHkXr4DA01WRwCJKGxxT5SoToZqVMDns7Q&#10;1RiYpJ8386sip4ikULHIF6t56komyufTDn34qKBncVJxpKYmdXF88CFmI8rnLfEyD0Y3O21MWuC+&#10;3hpkR0EG2KUvFfBqm7FsoFSW82VSthDPJ2/0OpBBje4rfp3Hb7JMpPHBNmlLENpMc8rE2BOeSGRi&#10;E8Z6ZLqp+CqejbRqaJ6IF8LkR3o/NOkAf3M2kBcr7n8dBCrOzCdLzG+KxSKaNy0WyysixPAyUl9G&#10;hJUkVfHA2TTdhmT4hMPdUW92OmF7yeSUMnks0Ty9h2jiy3Xa9fJqN38AAAD//wMAUEsDBBQABgAI&#10;AAAAIQDbww1+4AAAAAsBAAAPAAAAZHJzL2Rvd25yZXYueG1sTI/BTsMwEETvSPyDtUjcqENaIAlx&#10;qoqKCwekFqT26MZOHBGvLdtNw9+znOC2uzOafVOvZzuySYc4OBRwv8iAaWydGrAX8PnxelcAi0mi&#10;kqNDLeBbR1g311e1rJS74E5P+9QzCsFYSQEmJV9xHlujrYwL5zWS1rlgZaI19FwFeaFwO/I8yx65&#10;lQPSByO9fjG6/dqfrYCDNYPahvdjp8Zp+9ZtHvwcvBC3N/PmGVjSc/ozwy8+oUNDTCd3RhXZKCBf&#10;FiVZSXgqcmDkWBYrupxoKMsV8Kbm/zs0PwAAAP//AwBQSwECLQAUAAYACAAAACEAtoM4kv4AAADh&#10;AQAAEwAAAAAAAAAAAAAAAAAAAAAAW0NvbnRlbnRfVHlwZXNdLnhtbFBLAQItABQABgAIAAAAIQA4&#10;/SH/1gAAAJQBAAALAAAAAAAAAAAAAAAAAC8BAABfcmVscy8ucmVsc1BLAQItABQABgAIAAAAIQDS&#10;dvjjEQIAAP0DAAAOAAAAAAAAAAAAAAAAAC4CAABkcnMvZTJvRG9jLnhtbFBLAQItABQABgAIAAAA&#10;IQDbww1+4AAAAAsBAAAPAAAAAAAAAAAAAAAAAGsEAABkcnMvZG93bnJldi54bWxQSwUGAAAAAAQA&#10;BADzAAAAeAUAAAAA&#10;" stroked="f">
                <v:textbox style="mso-fit-shape-to-text:t">
                  <w:txbxContent>
                    <w:p w14:paraId="51A6DD49" w14:textId="611374C9" w:rsidR="00B71190" w:rsidRPr="004E3746" w:rsidRDefault="00B71190" w:rsidP="004E3746">
                      <w:pPr>
                        <w:jc w:val="center"/>
                        <w:rPr>
                          <w:b/>
                          <w:bCs/>
                          <w:sz w:val="28"/>
                          <w:szCs w:val="28"/>
                        </w:rPr>
                      </w:pPr>
                      <w:r w:rsidRPr="004E3746">
                        <w:rPr>
                          <w:b/>
                          <w:bCs/>
                          <w:sz w:val="28"/>
                          <w:szCs w:val="28"/>
                        </w:rPr>
                        <w:t xml:space="preserve">Total: </w:t>
                      </w:r>
                      <w:r w:rsidR="005F15D8" w:rsidRPr="004E3746">
                        <w:rPr>
                          <w:b/>
                          <w:bCs/>
                          <w:sz w:val="28"/>
                          <w:szCs w:val="28"/>
                        </w:rPr>
                        <w:br/>
                      </w:r>
                      <w:r w:rsidRPr="004E3746">
                        <w:rPr>
                          <w:b/>
                          <w:bCs/>
                          <w:sz w:val="28"/>
                          <w:szCs w:val="28"/>
                        </w:rPr>
                        <w:t>£5</w:t>
                      </w:r>
                      <w:r w:rsidR="005F15D8" w:rsidRPr="004E3746">
                        <w:rPr>
                          <w:b/>
                          <w:bCs/>
                          <w:sz w:val="28"/>
                          <w:szCs w:val="28"/>
                        </w:rPr>
                        <w:t>.1bn</w:t>
                      </w:r>
                    </w:p>
                  </w:txbxContent>
                </v:textbox>
              </v:shape>
            </w:pict>
          </mc:Fallback>
        </mc:AlternateContent>
      </w:r>
      <w:r w:rsidR="00B71190">
        <w:rPr>
          <w:noProof/>
        </w:rPr>
        <w:drawing>
          <wp:inline distT="0" distB="0" distL="0" distR="0" wp14:anchorId="28E66F21" wp14:editId="19BE393A">
            <wp:extent cx="5760000" cy="2880000"/>
            <wp:effectExtent l="0" t="0" r="0" b="0"/>
            <wp:docPr id="1055332548" name="Chart 1">
              <a:extLst xmlns:a="http://schemas.openxmlformats.org/drawingml/2006/main">
                <a:ext uri="{FF2B5EF4-FFF2-40B4-BE49-F238E27FC236}">
                  <a16:creationId xmlns:a16="http://schemas.microsoft.com/office/drawing/2014/main" id="{4D24E51E-9EBD-81F8-7A4E-73C12E406D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82BAB60" w14:textId="77777777" w:rsidR="006C5B51" w:rsidRDefault="006C5B51" w:rsidP="00C572DD">
      <w:pPr>
        <w:rPr>
          <w:b/>
          <w:bCs/>
          <w:lang w:eastAsia="zh-TW"/>
        </w:rPr>
      </w:pPr>
    </w:p>
    <w:p w14:paraId="799262A0" w14:textId="7AB1D1F6" w:rsidR="001C2888" w:rsidRDefault="001C2888">
      <w:pPr>
        <w:jc w:val="both"/>
        <w:rPr>
          <w:kern w:val="2"/>
          <w14:ligatures w14:val="standardContextual"/>
        </w:rPr>
      </w:pPr>
      <w:r>
        <w:t xml:space="preserve">In 2022, activities associated with the </w:t>
      </w:r>
      <w:r w:rsidR="00C3126A">
        <w:t>Canal &amp; River Trust</w:t>
      </w:r>
      <w:r>
        <w:t>’s waterways directly supported approximately 150,400 FTE jobs across England and Wales.</w:t>
      </w:r>
    </w:p>
    <w:p w14:paraId="3A160D73" w14:textId="4861A47D" w:rsidR="00FB1A76" w:rsidRDefault="00FB1A76">
      <w:pPr>
        <w:jc w:val="both"/>
      </w:pPr>
      <w:r>
        <w:t>While the employment supported broadly follows a similar pattern to GVA across impact channels, a key difference is that boating-related activity supports the majority of direct employment (around 65%). This is largely driven by labour-intensive services connected to wider boating tourism, including hospitality, retail and visitor services. Towpath visitor activity accounts for a further 35% of direct jobs, illustrating the importance of freely accessible, everyday recreation along canals and rivers in sustaining local employment</w:t>
      </w:r>
      <w:r w:rsidR="00022BE0">
        <w:t xml:space="preserve">. Please </w:t>
      </w:r>
      <w:r>
        <w:t>see Figure 3.</w:t>
      </w:r>
    </w:p>
    <w:p w14:paraId="6DDE1D3D" w14:textId="77777777" w:rsidR="00022BE0" w:rsidRDefault="00022BE0">
      <w:pPr>
        <w:jc w:val="both"/>
      </w:pPr>
    </w:p>
    <w:p w14:paraId="184C7429" w14:textId="77777777" w:rsidR="00022BE0" w:rsidRDefault="00022BE0">
      <w:pPr>
        <w:jc w:val="both"/>
      </w:pPr>
    </w:p>
    <w:p w14:paraId="4F948FD6" w14:textId="77777777" w:rsidR="00022BE0" w:rsidRDefault="00022BE0">
      <w:pPr>
        <w:jc w:val="both"/>
      </w:pPr>
    </w:p>
    <w:p w14:paraId="01D271AE" w14:textId="77777777" w:rsidR="00022BE0" w:rsidRDefault="00022BE0">
      <w:pPr>
        <w:jc w:val="both"/>
      </w:pPr>
    </w:p>
    <w:p w14:paraId="55F24578" w14:textId="77777777" w:rsidR="00022BE0" w:rsidRDefault="00022BE0">
      <w:pPr>
        <w:jc w:val="both"/>
      </w:pPr>
    </w:p>
    <w:p w14:paraId="600E7ADF" w14:textId="77777777" w:rsidR="00022BE0" w:rsidRDefault="00022BE0">
      <w:pPr>
        <w:jc w:val="both"/>
      </w:pPr>
    </w:p>
    <w:p w14:paraId="7ED3C934" w14:textId="77777777" w:rsidR="00022BE0" w:rsidRDefault="00022BE0">
      <w:pPr>
        <w:jc w:val="both"/>
      </w:pPr>
    </w:p>
    <w:p w14:paraId="6CECCBCB" w14:textId="77777777" w:rsidR="00022BE0" w:rsidRDefault="00022BE0">
      <w:pPr>
        <w:jc w:val="both"/>
      </w:pPr>
    </w:p>
    <w:p w14:paraId="36227ACA" w14:textId="77777777" w:rsidR="00022BE0" w:rsidRDefault="00022BE0">
      <w:pPr>
        <w:jc w:val="both"/>
      </w:pPr>
    </w:p>
    <w:p w14:paraId="67FAE3D5" w14:textId="77777777" w:rsidR="00022BE0" w:rsidRDefault="00022BE0">
      <w:pPr>
        <w:jc w:val="both"/>
        <w:rPr>
          <w:kern w:val="2"/>
          <w14:ligatures w14:val="standardContextual"/>
        </w:rPr>
      </w:pPr>
    </w:p>
    <w:p w14:paraId="7C3356D6" w14:textId="3E4A5DE5" w:rsidR="00C572DD" w:rsidRDefault="00C572DD" w:rsidP="00C572DD">
      <w:pPr>
        <w:rPr>
          <w:b/>
          <w:bCs/>
          <w:lang w:eastAsia="zh-TW"/>
        </w:rPr>
      </w:pPr>
      <w:r w:rsidRPr="004E3746">
        <w:rPr>
          <w:b/>
          <w:bCs/>
          <w:lang w:eastAsia="zh-TW"/>
        </w:rPr>
        <w:lastRenderedPageBreak/>
        <w:t xml:space="preserve">Figure </w:t>
      </w:r>
      <w:r w:rsidR="00E72734">
        <w:rPr>
          <w:b/>
          <w:bCs/>
          <w:lang w:eastAsia="zh-TW"/>
        </w:rPr>
        <w:t>3</w:t>
      </w:r>
      <w:r w:rsidRPr="004E3746">
        <w:rPr>
          <w:b/>
          <w:bCs/>
          <w:lang w:eastAsia="zh-TW"/>
        </w:rPr>
        <w:t xml:space="preserve">: Breakdown of direct </w:t>
      </w:r>
      <w:r w:rsidR="004E3746">
        <w:rPr>
          <w:b/>
          <w:bCs/>
          <w:lang w:eastAsia="zh-TW"/>
        </w:rPr>
        <w:t>employment</w:t>
      </w:r>
      <w:r w:rsidRPr="004E3746">
        <w:rPr>
          <w:b/>
          <w:bCs/>
          <w:lang w:eastAsia="zh-TW"/>
        </w:rPr>
        <w:t xml:space="preserve"> by economic impact channel, 2022</w:t>
      </w:r>
    </w:p>
    <w:p w14:paraId="112698D6" w14:textId="3B86609F" w:rsidR="00C572DD" w:rsidRPr="00C572DD" w:rsidRDefault="009F10F7" w:rsidP="00C572DD">
      <w:r w:rsidRPr="00B71190">
        <w:rPr>
          <w:noProof/>
          <w:color w:val="EE0000"/>
        </w:rPr>
        <mc:AlternateContent>
          <mc:Choice Requires="wps">
            <w:drawing>
              <wp:anchor distT="45720" distB="45720" distL="114300" distR="114300" simplePos="0" relativeHeight="251653632" behindDoc="0" locked="0" layoutInCell="1" allowOverlap="1" wp14:anchorId="1FB978D9" wp14:editId="0407D02E">
                <wp:simplePos x="0" y="0"/>
                <wp:positionH relativeFrom="column">
                  <wp:posOffset>1485900</wp:posOffset>
                </wp:positionH>
                <wp:positionV relativeFrom="paragraph">
                  <wp:posOffset>1118870</wp:posOffset>
                </wp:positionV>
                <wp:extent cx="927100" cy="1404620"/>
                <wp:effectExtent l="0" t="0" r="6350" b="0"/>
                <wp:wrapNone/>
                <wp:docPr id="794105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1404620"/>
                        </a:xfrm>
                        <a:prstGeom prst="rect">
                          <a:avLst/>
                        </a:prstGeom>
                        <a:solidFill>
                          <a:srgbClr val="FFFFFF"/>
                        </a:solidFill>
                        <a:ln w="9525">
                          <a:noFill/>
                          <a:miter lim="800000"/>
                          <a:headEnd/>
                          <a:tailEnd/>
                        </a:ln>
                      </wps:spPr>
                      <wps:txbx>
                        <w:txbxContent>
                          <w:p w14:paraId="19A43928" w14:textId="6B0B65F0" w:rsidR="009F10F7" w:rsidRPr="004E3746" w:rsidRDefault="009F10F7" w:rsidP="004E3746">
                            <w:pPr>
                              <w:jc w:val="center"/>
                              <w:rPr>
                                <w:b/>
                                <w:bCs/>
                                <w:sz w:val="28"/>
                                <w:szCs w:val="28"/>
                              </w:rPr>
                            </w:pPr>
                            <w:r w:rsidRPr="004E3746">
                              <w:rPr>
                                <w:b/>
                                <w:bCs/>
                                <w:sz w:val="28"/>
                                <w:szCs w:val="28"/>
                              </w:rPr>
                              <w:t xml:space="preserve">Total: </w:t>
                            </w:r>
                            <w:r w:rsidRPr="004E3746">
                              <w:rPr>
                                <w:b/>
                                <w:bCs/>
                                <w:sz w:val="28"/>
                                <w:szCs w:val="28"/>
                              </w:rPr>
                              <w:br/>
                            </w:r>
                            <w:r>
                              <w:rPr>
                                <w:b/>
                                <w:bCs/>
                                <w:sz w:val="28"/>
                                <w:szCs w:val="28"/>
                              </w:rPr>
                              <w:t>150,400</w:t>
                            </w:r>
                            <w:r w:rsidR="00A6199E">
                              <w:rPr>
                                <w:b/>
                                <w:bCs/>
                                <w:sz w:val="28"/>
                                <w:szCs w:val="28"/>
                              </w:rPr>
                              <w:t xml:space="preserve"> FTEs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B978D9" id="_x0000_s1040" type="#_x0000_t202" style="position:absolute;margin-left:117pt;margin-top:88.1pt;width:73pt;height:110.6pt;z-index:251653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YVEQIAAP0DAAAOAAAAZHJzL2Uyb0RvYy54bWysk99u2yAUxu8n7R0Q94vtKGlaK07Vpcs0&#10;qfsjdXsAjHGMhjnsQGJ3T78DTtOou5vmCwQ+8HHO73ysb8fesKNCr8FWvJjlnCkrodF2X/Ef33fv&#10;rjnzQdhGGLCq4k/K89vN2zfrwZVqDh2YRiEjEevLwVW8C8GVWeZlp3rhZ+CUpWAL2ItAS9xnDYqB&#10;1HuTzfP8KhsAG4cglff0934K8k3Sb1slw9e29SowU3HKLaQR01jHMdusRblH4TotT2mIf8iiF9rS&#10;pWepexEEO6D+S6rXEsFDG2YS+gzaVkuVaqBqivxVNY+dcCrVQnC8O2Py/09Wfjk+um/IwvgeRmpg&#10;KsK7B5A/PbOw7YTdqztEGDolGrq4iMiywfnydDSi9qWPIvXwGRpqsjgESEJji32kQnUyUqcGPJ2h&#10;qzEwST9v5qsip4ikULHIF1fz1JVMlM+nHfrwUUHP4qTiSE1N6uL44EPMRpTPW+JlHoxudtqYtMB9&#10;vTXIjoIMsEtfKuDVNmPZQKks58ukbCGeT97odSCDGt1X/DqP32SZSOODbdKWILSZ5pSJsSc8kcjE&#10;Joz1yHRT8VU8G2nV0DwRL4TJj/R+aNIB/uZsIC9W3P86CFScmU+WmN8Ui0U0b1oslisixPAyUl9G&#10;hJUkVfHA2TTdhmT4hMPdUW92OmF7yeSUMnks0Ty9h2jiy3Xa9fJqN38AAAD//wMAUEsDBBQABgAI&#10;AAAAIQA2Muik4AAAAAsBAAAPAAAAZHJzL2Rvd25yZXYueG1sTI/BTsMwEETvSPyDtUjcqENa2hLi&#10;VBUVFw5IFKT26MZOHGGvLdtNw9+znOC2uzOafVNvJmfZqGMaPAq4nxXANLZeDdgL+Px4uVsDS1mi&#10;ktajFvCtE2ya66taVspf8F2P+9wzCsFUSQEm51BxnlqjnUwzHzSS1vnoZKY19lxFeaFwZ3lZFEvu&#10;5ID0wcign41uv/ZnJ+DgzKB28e3YKTvuXrvtQ5hiEOL2Zto+Act6yn9m+MUndGiI6eTPqBKzAsr5&#10;grpkElbLEhg55uuCLicaHlcL4E3N/3dofgAAAP//AwBQSwECLQAUAAYACAAAACEAtoM4kv4AAADh&#10;AQAAEwAAAAAAAAAAAAAAAAAAAAAAW0NvbnRlbnRfVHlwZXNdLnhtbFBLAQItABQABgAIAAAAIQA4&#10;/SH/1gAAAJQBAAALAAAAAAAAAAAAAAAAAC8BAABfcmVscy8ucmVsc1BLAQItABQABgAIAAAAIQAA&#10;wZYVEQIAAP0DAAAOAAAAAAAAAAAAAAAAAC4CAABkcnMvZTJvRG9jLnhtbFBLAQItABQABgAIAAAA&#10;IQA2Muik4AAAAAsBAAAPAAAAAAAAAAAAAAAAAGsEAABkcnMvZG93bnJldi54bWxQSwUGAAAAAAQA&#10;BADzAAAAeAUAAAAA&#10;" stroked="f">
                <v:textbox style="mso-fit-shape-to-text:t">
                  <w:txbxContent>
                    <w:p w14:paraId="19A43928" w14:textId="6B0B65F0" w:rsidR="009F10F7" w:rsidRPr="004E3746" w:rsidRDefault="009F10F7" w:rsidP="004E3746">
                      <w:pPr>
                        <w:jc w:val="center"/>
                        <w:rPr>
                          <w:b/>
                          <w:bCs/>
                          <w:sz w:val="28"/>
                          <w:szCs w:val="28"/>
                        </w:rPr>
                      </w:pPr>
                      <w:r w:rsidRPr="004E3746">
                        <w:rPr>
                          <w:b/>
                          <w:bCs/>
                          <w:sz w:val="28"/>
                          <w:szCs w:val="28"/>
                        </w:rPr>
                        <w:t xml:space="preserve">Total: </w:t>
                      </w:r>
                      <w:r w:rsidRPr="004E3746">
                        <w:rPr>
                          <w:b/>
                          <w:bCs/>
                          <w:sz w:val="28"/>
                          <w:szCs w:val="28"/>
                        </w:rPr>
                        <w:br/>
                      </w:r>
                      <w:r>
                        <w:rPr>
                          <w:b/>
                          <w:bCs/>
                          <w:sz w:val="28"/>
                          <w:szCs w:val="28"/>
                        </w:rPr>
                        <w:t>150,400</w:t>
                      </w:r>
                      <w:r w:rsidR="00A6199E">
                        <w:rPr>
                          <w:b/>
                          <w:bCs/>
                          <w:sz w:val="28"/>
                          <w:szCs w:val="28"/>
                        </w:rPr>
                        <w:t xml:space="preserve"> FTEs</w:t>
                      </w:r>
                    </w:p>
                  </w:txbxContent>
                </v:textbox>
              </v:shape>
            </w:pict>
          </mc:Fallback>
        </mc:AlternateContent>
      </w:r>
      <w:r w:rsidR="00C572DD">
        <w:rPr>
          <w:noProof/>
        </w:rPr>
        <w:drawing>
          <wp:inline distT="0" distB="0" distL="0" distR="0" wp14:anchorId="11FF146C" wp14:editId="787038D5">
            <wp:extent cx="5760000" cy="2880000"/>
            <wp:effectExtent l="0" t="0" r="0" b="0"/>
            <wp:docPr id="858017105" name="Chart 1">
              <a:extLst xmlns:a="http://schemas.openxmlformats.org/drawingml/2006/main">
                <a:ext uri="{FF2B5EF4-FFF2-40B4-BE49-F238E27FC236}">
                  <a16:creationId xmlns:a16="http://schemas.microsoft.com/office/drawing/2014/main" id="{CF365851-DCCC-4633-8726-5FD268FC26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CC32130" w14:textId="7E7C7C1A" w:rsidR="009D4557" w:rsidRPr="001238C1" w:rsidRDefault="009D4557" w:rsidP="001238C1">
      <w:pPr>
        <w:rPr>
          <w:color w:val="EE0000"/>
        </w:rPr>
      </w:pPr>
    </w:p>
    <w:p w14:paraId="37E6275A" w14:textId="6122EB09" w:rsidR="001C2888" w:rsidRDefault="001C2888">
      <w:pPr>
        <w:jc w:val="both"/>
        <w:rPr>
          <w:kern w:val="2"/>
          <w14:ligatures w14:val="standardContextual"/>
        </w:rPr>
      </w:pPr>
      <w:r>
        <w:t xml:space="preserve">To provide a sense of the relative economic contribution of the </w:t>
      </w:r>
      <w:r w:rsidR="00C3126A">
        <w:t>Canal &amp; River Trust</w:t>
      </w:r>
      <w:r>
        <w:t xml:space="preserve">’s waterways to the UK economy, Figures 4 and 5 show that activity associated with </w:t>
      </w:r>
      <w:r w:rsidR="00C3126A">
        <w:t>Canal &amp; River Trust</w:t>
      </w:r>
      <w:r>
        <w:t xml:space="preserve">-managed waterways makes an economic contribution comparable in scale to </w:t>
      </w:r>
      <w:r w:rsidR="004542F2">
        <w:t>several</w:t>
      </w:r>
      <w:r>
        <w:t xml:space="preserve"> established UK leisure- and tourism-related sectors, both in terms of value added and employment.</w:t>
      </w:r>
    </w:p>
    <w:p w14:paraId="448925E5" w14:textId="0E3E7DD5" w:rsidR="00FB1A76" w:rsidRDefault="00FB1A76">
      <w:pPr>
        <w:jc w:val="both"/>
        <w:rPr>
          <w:kern w:val="2"/>
          <w14:ligatures w14:val="standardContextual"/>
        </w:rPr>
      </w:pPr>
      <w:r>
        <w:t>Waterways support a level of direct economic output similar to, or greater than, several recognised sectors within the visitor economy, including the operation of sports facilities and holiday accommodation sectors</w:t>
      </w:r>
      <w:r w:rsidR="00022BE0">
        <w:t xml:space="preserve">. Please </w:t>
      </w:r>
      <w:r>
        <w:t>see Figure 4.</w:t>
      </w:r>
    </w:p>
    <w:p w14:paraId="0A8C4CFE" w14:textId="77777777" w:rsidR="001C2888" w:rsidRDefault="001C2888">
      <w:pPr>
        <w:jc w:val="both"/>
        <w:rPr>
          <w:kern w:val="2"/>
          <w14:ligatures w14:val="standardContextual"/>
        </w:rPr>
      </w:pPr>
      <w:r>
        <w:t>This comparison highlights that, while waterways are not typically thought of as an economic “sector” in their own right, the combined activities they support represent a substantial source of economic value at the national level. The scale of direct GVA reflects the breadth of spending enabled by waterways, spanning everyday recreation, tourism, boating-related services and associated visitor expenditure.</w:t>
      </w:r>
    </w:p>
    <w:p w14:paraId="3CE69E6D" w14:textId="283A7F4F" w:rsidR="00FB1A76" w:rsidRDefault="00FB1A76">
      <w:pPr>
        <w:jc w:val="both"/>
        <w:rPr>
          <w:kern w:val="2"/>
          <w14:ligatures w14:val="standardContextual"/>
        </w:rPr>
      </w:pPr>
      <w:r>
        <w:t xml:space="preserve">In 2022, activities associated with </w:t>
      </w:r>
      <w:r w:rsidR="00C3126A">
        <w:t>Canal &amp; River Trust</w:t>
      </w:r>
      <w:r>
        <w:t>-managed waterways supported around 150,000 direct jobs, placing waterways on a comparable footing with several other labour-intensive leisure and visitor-facing sectors</w:t>
      </w:r>
      <w:r w:rsidR="00022BE0">
        <w:t xml:space="preserve">. Please </w:t>
      </w:r>
      <w:r>
        <w:t>see Figure 5.</w:t>
      </w:r>
    </w:p>
    <w:p w14:paraId="3146D4C3" w14:textId="77777777" w:rsidR="001C2888" w:rsidRDefault="001C2888">
      <w:pPr>
        <w:jc w:val="both"/>
      </w:pPr>
      <w:r>
        <w:t>The relatively high level of employment supported reflects the service-based nature of much waterway-related activity, particularly hospitality, retail and visitor services linked to towpaths and boating. As with GVA, this underlines the role of waterways as widespread economic infrastructure supporting jobs across many local economies, rather than employment being concentrated within a single industry.</w:t>
      </w:r>
    </w:p>
    <w:p w14:paraId="07D0F6A2" w14:textId="77777777" w:rsidR="00C5608F" w:rsidRDefault="00C5608F">
      <w:pPr>
        <w:jc w:val="both"/>
      </w:pPr>
    </w:p>
    <w:p w14:paraId="6708A38C" w14:textId="77777777" w:rsidR="00C5608F" w:rsidRDefault="00C5608F">
      <w:pPr>
        <w:jc w:val="both"/>
      </w:pPr>
    </w:p>
    <w:p w14:paraId="63866FF8" w14:textId="77777777" w:rsidR="00C5608F" w:rsidRDefault="00C5608F">
      <w:pPr>
        <w:jc w:val="both"/>
      </w:pPr>
    </w:p>
    <w:p w14:paraId="1E6A9F35" w14:textId="77777777" w:rsidR="00C5608F" w:rsidRDefault="00C5608F">
      <w:pPr>
        <w:jc w:val="both"/>
      </w:pPr>
    </w:p>
    <w:p w14:paraId="3B9BC84C" w14:textId="77777777" w:rsidR="00C5608F" w:rsidRDefault="00C5608F">
      <w:pPr>
        <w:jc w:val="both"/>
      </w:pPr>
    </w:p>
    <w:p w14:paraId="12545113" w14:textId="77777777" w:rsidR="00C5608F" w:rsidRDefault="00C5608F">
      <w:pPr>
        <w:jc w:val="both"/>
      </w:pPr>
    </w:p>
    <w:p w14:paraId="542A71A6" w14:textId="77777777" w:rsidR="00C5608F" w:rsidRDefault="00C5608F">
      <w:pPr>
        <w:jc w:val="both"/>
      </w:pPr>
    </w:p>
    <w:p w14:paraId="4A4831F1" w14:textId="77777777" w:rsidR="00C5608F" w:rsidRDefault="00C5608F">
      <w:pPr>
        <w:jc w:val="both"/>
      </w:pPr>
    </w:p>
    <w:p w14:paraId="6F50F7A7" w14:textId="77777777" w:rsidR="00C5608F" w:rsidRDefault="00C5608F">
      <w:pPr>
        <w:jc w:val="both"/>
      </w:pPr>
    </w:p>
    <w:p w14:paraId="0F5441DA" w14:textId="77777777" w:rsidR="00C5608F" w:rsidRDefault="00C5608F">
      <w:pPr>
        <w:jc w:val="both"/>
      </w:pPr>
    </w:p>
    <w:p w14:paraId="756E87FC" w14:textId="77777777" w:rsidR="00C5608F" w:rsidRDefault="00C5608F">
      <w:pPr>
        <w:jc w:val="both"/>
      </w:pPr>
    </w:p>
    <w:p w14:paraId="0C9206FB" w14:textId="77777777" w:rsidR="00C5608F" w:rsidRDefault="00C5608F">
      <w:pPr>
        <w:jc w:val="both"/>
      </w:pPr>
    </w:p>
    <w:p w14:paraId="1C49FE3F" w14:textId="5B57990A" w:rsidR="001B1FF2" w:rsidRDefault="00371741" w:rsidP="00E25697">
      <w:pPr>
        <w:rPr>
          <w:b/>
          <w:bCs/>
        </w:rPr>
      </w:pPr>
      <w:r w:rsidRPr="009178AF">
        <w:rPr>
          <w:b/>
          <w:bCs/>
        </w:rPr>
        <w:lastRenderedPageBreak/>
        <w:t xml:space="preserve">Figure </w:t>
      </w:r>
      <w:r w:rsidR="00E72734">
        <w:rPr>
          <w:b/>
          <w:bCs/>
        </w:rPr>
        <w:t>4</w:t>
      </w:r>
      <w:r w:rsidRPr="00EF5D18">
        <w:rPr>
          <w:b/>
          <w:bCs/>
        </w:rPr>
        <w:t xml:space="preserve">: </w:t>
      </w:r>
      <w:r w:rsidR="004D4A69" w:rsidRPr="004D4A69">
        <w:rPr>
          <w:b/>
          <w:bCs/>
        </w:rPr>
        <w:t xml:space="preserve">Comparison of direct GVA generated by </w:t>
      </w:r>
      <w:r w:rsidR="00C3126A">
        <w:rPr>
          <w:b/>
          <w:bCs/>
        </w:rPr>
        <w:t>Canal &amp; River Trust</w:t>
      </w:r>
      <w:r w:rsidR="004D4A69" w:rsidRPr="004D4A69">
        <w:rPr>
          <w:b/>
          <w:bCs/>
        </w:rPr>
        <w:t xml:space="preserve">-managed waterways and other sectors of comparable </w:t>
      </w:r>
      <w:r w:rsidR="00C74038" w:rsidRPr="004D4A69">
        <w:rPr>
          <w:b/>
          <w:bCs/>
        </w:rPr>
        <w:t>size or</w:t>
      </w:r>
      <w:r w:rsidR="004D4A69" w:rsidRPr="004D4A69">
        <w:rPr>
          <w:b/>
          <w:bCs/>
        </w:rPr>
        <w:t xml:space="preserve"> related to tourism, £ billion, 2022</w:t>
      </w:r>
    </w:p>
    <w:p w14:paraId="31AA0EEE" w14:textId="7596F3A8" w:rsidR="00EA7FF3" w:rsidRDefault="00EA7FF3" w:rsidP="00E25697">
      <w:pPr>
        <w:rPr>
          <w:b/>
          <w:bCs/>
        </w:rPr>
      </w:pPr>
      <w:r>
        <w:rPr>
          <w:noProof/>
        </w:rPr>
        <w:drawing>
          <wp:inline distT="0" distB="0" distL="0" distR="0" wp14:anchorId="3B0E5D02" wp14:editId="30B11F84">
            <wp:extent cx="6120000" cy="2880000"/>
            <wp:effectExtent l="0" t="0" r="0" b="0"/>
            <wp:docPr id="997296439" name="Chart 1">
              <a:extLst xmlns:a="http://schemas.openxmlformats.org/drawingml/2006/main">
                <a:ext uri="{FF2B5EF4-FFF2-40B4-BE49-F238E27FC236}">
                  <a16:creationId xmlns:a16="http://schemas.microsoft.com/office/drawing/2014/main" id="{9EEC7B3E-D64E-3719-0440-FB8FD3121C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01A9082" w14:textId="77777777" w:rsidR="003E75EF" w:rsidRDefault="003E75EF">
      <w:pPr>
        <w:rPr>
          <w:b/>
          <w:bCs/>
        </w:rPr>
      </w:pPr>
    </w:p>
    <w:p w14:paraId="32BF0A50" w14:textId="1EAE6272" w:rsidR="00FB1A76" w:rsidRDefault="00FB1A76">
      <w:pPr>
        <w:rPr>
          <w:kern w:val="2"/>
          <w14:ligatures w14:val="standardContextual"/>
        </w:rPr>
      </w:pPr>
      <w:r>
        <w:rPr>
          <w:b/>
          <w:bCs/>
        </w:rPr>
        <w:t xml:space="preserve">Figure 5: Comparison of direct FTE employment supported by economic activity along </w:t>
      </w:r>
      <w:r w:rsidR="00C3126A">
        <w:rPr>
          <w:b/>
          <w:bCs/>
        </w:rPr>
        <w:t>Canal &amp; River Trust</w:t>
      </w:r>
      <w:r>
        <w:rPr>
          <w:b/>
          <w:bCs/>
        </w:rPr>
        <w:t>-managed waterways and other sectors of comparable size or related to tourism, 2022</w:t>
      </w:r>
    </w:p>
    <w:p w14:paraId="2F65ACB6" w14:textId="4975937F" w:rsidR="00FE7A81" w:rsidRDefault="00FE7A81" w:rsidP="00C74038">
      <w:pPr>
        <w:rPr>
          <w:b/>
          <w:bCs/>
        </w:rPr>
      </w:pPr>
      <w:r>
        <w:rPr>
          <w:noProof/>
        </w:rPr>
        <w:drawing>
          <wp:inline distT="0" distB="0" distL="0" distR="0" wp14:anchorId="3EA85B7C" wp14:editId="6A2C6DD3">
            <wp:extent cx="6120000" cy="2880000"/>
            <wp:effectExtent l="0" t="0" r="0" b="0"/>
            <wp:docPr id="971604277" name="Chart 1">
              <a:extLst xmlns:a="http://schemas.openxmlformats.org/drawingml/2006/main">
                <a:ext uri="{FF2B5EF4-FFF2-40B4-BE49-F238E27FC236}">
                  <a16:creationId xmlns:a16="http://schemas.microsoft.com/office/drawing/2014/main" id="{08E2C7D5-1A05-4EF1-80C8-62D537AAAB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EE07890" w14:textId="77777777" w:rsidR="00307C00" w:rsidRDefault="00307C00">
      <w:pPr>
        <w:jc w:val="both"/>
      </w:pPr>
      <w:bookmarkStart w:id="1" w:name="_Ref34302220"/>
    </w:p>
    <w:p w14:paraId="3A249B77" w14:textId="3CBE4B20" w:rsidR="00FB1A76" w:rsidRDefault="00FB1A76">
      <w:pPr>
        <w:jc w:val="both"/>
        <w:rPr>
          <w:kern w:val="2"/>
          <w14:ligatures w14:val="standardContextual"/>
        </w:rPr>
      </w:pPr>
      <w:r>
        <w:t xml:space="preserve">If we also consider the supply chains activated by economic activity on </w:t>
      </w:r>
      <w:r w:rsidR="00C3126A">
        <w:t>Canal &amp; River Trust</w:t>
      </w:r>
      <w:r>
        <w:t>-managed waterways, together with employee spending supported by that activity, the direct economic activity translates into a total contribution of around £11.8 billion in GVA in 2022. While direct activity accounts for £5.1 billion of GVA, the additional impacts generated through supply chains and employee spending more than double the initial value</w:t>
      </w:r>
      <w:r w:rsidR="00C5608F">
        <w:t xml:space="preserve">. Please </w:t>
      </w:r>
      <w:r>
        <w:t>see Figure 6.</w:t>
      </w:r>
    </w:p>
    <w:p w14:paraId="443B5B82" w14:textId="77777777" w:rsidR="001C2888" w:rsidRDefault="001C2888">
      <w:pPr>
        <w:jc w:val="both"/>
        <w:rPr>
          <w:kern w:val="2"/>
          <w14:ligatures w14:val="standardContextual"/>
        </w:rPr>
      </w:pPr>
      <w:r>
        <w:t>This reflects the way waterway-related activity is embedded across the economy, particularly through sectors such as hospitality, retail, construction and professional services. Spending enabled by waterways therefore supports economic activity well beyond the businesses and locations immediately adjacent to the network, extending its economic footprint nationally.</w:t>
      </w:r>
    </w:p>
    <w:p w14:paraId="77EB3E75" w14:textId="427EC7AD" w:rsidR="001C2888" w:rsidRDefault="001C2888">
      <w:pPr>
        <w:jc w:val="both"/>
        <w:rPr>
          <w:kern w:val="2"/>
          <w14:ligatures w14:val="standardContextual"/>
        </w:rPr>
      </w:pPr>
      <w:r>
        <w:t xml:space="preserve">The indirect and induced effects on employment are relatively smaller, as shown in Figure 7. </w:t>
      </w:r>
      <w:r w:rsidR="00C3126A">
        <w:t>Canal &amp; River Trust</w:t>
      </w:r>
      <w:r>
        <w:t>-managed waterways support around 231,000 full-time equivalent jobs in total, compared with approximately 150,000 jobs supported directly by activity taking place on and around waterways.</w:t>
      </w:r>
    </w:p>
    <w:p w14:paraId="0CAB0F13" w14:textId="2AA42EA8" w:rsidR="001C2888" w:rsidRDefault="001C2888" w:rsidP="00FA1EFB">
      <w:pPr>
        <w:jc w:val="both"/>
        <w:rPr>
          <w:kern w:val="2"/>
          <w14:ligatures w14:val="standardContextual"/>
        </w:rPr>
      </w:pPr>
      <w:r>
        <w:lastRenderedPageBreak/>
        <w:t>The scale of the total employment impact highlights the role of waterways as an enabling form of economic infrastructure. By supporting visitor activity and related services, waterways help sustain jobs across a wide range of sectors and regions, including many roles that are not directly linked to the operation or maintenance of the waterway network itself.</w:t>
      </w:r>
      <w:bookmarkEnd w:id="1"/>
    </w:p>
    <w:p w14:paraId="085BECCF" w14:textId="04E3D1F0" w:rsidR="001C2888" w:rsidRDefault="0047733F">
      <w:r w:rsidRPr="005115A5">
        <w:rPr>
          <w:b/>
          <w:bCs/>
          <w:noProof/>
        </w:rPr>
        <mc:AlternateContent>
          <mc:Choice Requires="wpg">
            <w:drawing>
              <wp:anchor distT="0" distB="0" distL="114300" distR="114300" simplePos="0" relativeHeight="251663872" behindDoc="0" locked="0" layoutInCell="1" allowOverlap="1" wp14:anchorId="076C04DB" wp14:editId="63E301FD">
                <wp:simplePos x="0" y="0"/>
                <wp:positionH relativeFrom="margin">
                  <wp:align>right</wp:align>
                </wp:positionH>
                <wp:positionV relativeFrom="paragraph">
                  <wp:posOffset>347456</wp:posOffset>
                </wp:positionV>
                <wp:extent cx="6242050" cy="1943100"/>
                <wp:effectExtent l="0" t="0" r="25400" b="19050"/>
                <wp:wrapTopAndBottom/>
                <wp:docPr id="225" name="Group 5"/>
                <wp:cNvGraphicFramePr/>
                <a:graphic xmlns:a="http://schemas.openxmlformats.org/drawingml/2006/main">
                  <a:graphicData uri="http://schemas.microsoft.com/office/word/2010/wordprocessingGroup">
                    <wpg:wgp>
                      <wpg:cNvGrpSpPr/>
                      <wpg:grpSpPr>
                        <a:xfrm>
                          <a:off x="0" y="0"/>
                          <a:ext cx="6242050" cy="1943100"/>
                          <a:chOff x="0" y="0"/>
                          <a:chExt cx="8137666" cy="2311768"/>
                        </a:xfrm>
                      </wpg:grpSpPr>
                      <wps:wsp>
                        <wps:cNvPr id="226" name="Down Arrow 9"/>
                        <wps:cNvSpPr/>
                        <wps:spPr>
                          <a:xfrm rot="16200000">
                            <a:off x="2202185" y="852278"/>
                            <a:ext cx="646985" cy="606049"/>
                          </a:xfrm>
                          <a:prstGeom prst="downArrow">
                            <a:avLst/>
                          </a:prstGeom>
                          <a:solidFill>
                            <a:schemeClr val="accent1">
                              <a:lumMod val="40000"/>
                              <a:lumOff val="60000"/>
                            </a:scheme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7" name="Down Arrow 10"/>
                        <wps:cNvSpPr/>
                        <wps:spPr>
                          <a:xfrm rot="16200000">
                            <a:off x="5263738" y="852279"/>
                            <a:ext cx="646985" cy="606049"/>
                          </a:xfrm>
                          <a:prstGeom prst="downArrow">
                            <a:avLst/>
                          </a:prstGeom>
                          <a:solidFill>
                            <a:schemeClr val="accent1">
                              <a:lumMod val="40000"/>
                              <a:lumOff val="60000"/>
                            </a:scheme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8" name="Rectangle 228"/>
                        <wps:cNvSpPr/>
                        <wps:spPr>
                          <a:xfrm>
                            <a:off x="33246" y="1876168"/>
                            <a:ext cx="8104420" cy="435600"/>
                          </a:xfrm>
                          <a:prstGeom prst="rect">
                            <a:avLst/>
                          </a:prstGeom>
                          <a:solidFill>
                            <a:schemeClr val="tx2">
                              <a:lumMod val="50000"/>
                            </a:schemeClr>
                          </a:solidFill>
                          <a:ln w="6350" cap="flat" cmpd="sng" algn="ctr">
                            <a:solidFill>
                              <a:srgbClr val="3A3737"/>
                            </a:solidFill>
                            <a:prstDash val="solid"/>
                            <a:miter lim="800000"/>
                          </a:ln>
                          <a:effectLst/>
                        </wps:spPr>
                        <wps:txbx>
                          <w:txbxContent>
                            <w:p w14:paraId="7557E63A" w14:textId="77777777" w:rsidR="000B4CF0" w:rsidRPr="005115A5" w:rsidRDefault="000B4CF0" w:rsidP="000B4CF0">
                              <w:pPr>
                                <w:spacing w:after="160" w:line="256" w:lineRule="auto"/>
                                <w:jc w:val="center"/>
                                <w:rPr>
                                  <w:sz w:val="36"/>
                                  <w:szCs w:val="36"/>
                                </w:rPr>
                              </w:pPr>
                              <w:r w:rsidRPr="005115A5">
                                <w:rPr>
                                  <w:rFonts w:eastAsia="Calibri"/>
                                  <w:color w:val="FFFFFF" w:themeColor="light1"/>
                                  <w:kern w:val="24"/>
                                  <w:sz w:val="36"/>
                                  <w:szCs w:val="36"/>
                                </w:rPr>
                                <w:t xml:space="preserve">Total </w:t>
                              </w:r>
                              <w:r>
                                <w:rPr>
                                  <w:rFonts w:eastAsia="Calibri"/>
                                  <w:color w:val="FFFFFF" w:themeColor="light1"/>
                                  <w:kern w:val="24"/>
                                  <w:sz w:val="36"/>
                                  <w:szCs w:val="36"/>
                                </w:rPr>
                                <w:t>contribution</w:t>
                              </w:r>
                              <w:r w:rsidRPr="005115A5">
                                <w:rPr>
                                  <w:rFonts w:eastAsia="Calibri"/>
                                  <w:color w:val="FFFFFF" w:themeColor="light1"/>
                                  <w:kern w:val="24"/>
                                  <w:sz w:val="36"/>
                                  <w:szCs w:val="36"/>
                                </w:rPr>
                                <w:t xml:space="preserve"> = </w:t>
                              </w:r>
                              <w:r w:rsidRPr="00FA1EFB">
                                <w:rPr>
                                  <w:rFonts w:ascii="Cambria Math" w:eastAsia="Calibri" w:hAnsi="Cambria Math" w:cs="Cambria Math"/>
                                  <w:b/>
                                  <w:color w:val="FFFFFF" w:themeColor="light1"/>
                                  <w:kern w:val="24"/>
                                  <w:sz w:val="36"/>
                                  <w:szCs w:val="36"/>
                                </w:rPr>
                                <w:t>❶</w:t>
                              </w:r>
                              <w:r w:rsidRPr="005115A5">
                                <w:rPr>
                                  <w:rFonts w:eastAsia="Calibri"/>
                                  <w:color w:val="FFFFFF" w:themeColor="light1"/>
                                  <w:kern w:val="24"/>
                                  <w:sz w:val="36"/>
                                  <w:szCs w:val="36"/>
                                </w:rPr>
                                <w:t>+</w:t>
                              </w:r>
                              <w:r w:rsidRPr="005115A5">
                                <w:rPr>
                                  <w:rFonts w:ascii="Cambria Math" w:eastAsia="Calibri" w:hAnsi="Cambria Math" w:cs="Cambria Math"/>
                                  <w:color w:val="FFFFFF" w:themeColor="light1"/>
                                  <w:kern w:val="24"/>
                                  <w:sz w:val="36"/>
                                  <w:szCs w:val="36"/>
                                </w:rPr>
                                <w:t>❷</w:t>
                              </w:r>
                              <w:r w:rsidRPr="005115A5">
                                <w:rPr>
                                  <w:rFonts w:eastAsia="Calibri"/>
                                  <w:color w:val="FFFFFF" w:themeColor="light1"/>
                                  <w:kern w:val="24"/>
                                  <w:sz w:val="36"/>
                                  <w:szCs w:val="36"/>
                                </w:rPr>
                                <w:t>+</w:t>
                              </w:r>
                              <w:r w:rsidRPr="005115A5">
                                <w:rPr>
                                  <w:rFonts w:ascii="Cambria Math" w:eastAsia="Calibri" w:hAnsi="Cambria Math" w:cs="Cambria Math"/>
                                  <w:color w:val="FFFFFF" w:themeColor="light1"/>
                                  <w:kern w:val="24"/>
                                  <w:sz w:val="36"/>
                                  <w:szCs w:val="36"/>
                                </w:rPr>
                                <w:t>❸</w:t>
                              </w:r>
                              <w:r w:rsidRPr="005115A5">
                                <w:rPr>
                                  <w:rFonts w:eastAsia="Calibri"/>
                                  <w:color w:val="FFFFFF" w:themeColor="light1"/>
                                  <w:kern w:val="24"/>
                                  <w:sz w:val="36"/>
                                  <w:szCs w:val="36"/>
                                </w:rPr>
                                <w:t xml:space="preserve"> = </w:t>
                              </w:r>
                              <w:r w:rsidRPr="005115A5">
                                <w:rPr>
                                  <w:rFonts w:ascii="Modern Era" w:eastAsia="Calibri" w:hAnsi="Modern Era" w:cs="Modern Era"/>
                                  <w:color w:val="FFFFFF" w:themeColor="light1"/>
                                  <w:kern w:val="24"/>
                                  <w:sz w:val="36"/>
                                  <w:szCs w:val="36"/>
                                </w:rPr>
                                <w:t>£</w:t>
                              </w:r>
                              <w:r w:rsidRPr="005115A5">
                                <w:rPr>
                                  <w:rFonts w:eastAsia="Calibri"/>
                                  <w:color w:val="FFFFFF" w:themeColor="light1"/>
                                  <w:kern w:val="24"/>
                                  <w:sz w:val="36"/>
                                  <w:szCs w:val="36"/>
                                </w:rPr>
                                <w:t>11.</w:t>
                              </w:r>
                              <w:r>
                                <w:rPr>
                                  <w:rFonts w:eastAsia="Calibri"/>
                                  <w:color w:val="FFFFFF" w:themeColor="light1"/>
                                  <w:kern w:val="24"/>
                                  <w:sz w:val="36"/>
                                  <w:szCs w:val="36"/>
                                </w:rPr>
                                <w:t>8</w:t>
                              </w:r>
                              <w:r w:rsidRPr="005115A5">
                                <w:rPr>
                                  <w:rFonts w:eastAsia="Calibri"/>
                                  <w:color w:val="FFFFFF" w:themeColor="light1"/>
                                  <w:kern w:val="24"/>
                                  <w:sz w:val="36"/>
                                  <w:szCs w:val="36"/>
                                </w:rPr>
                                <w:t>bn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9" name="Rounded Rectangle 12"/>
                        <wps:cNvSpPr/>
                        <wps:spPr>
                          <a:xfrm>
                            <a:off x="1676" y="548422"/>
                            <a:ext cx="1976405" cy="1213764"/>
                          </a:xfrm>
                          <a:prstGeom prst="roundRect">
                            <a:avLst/>
                          </a:prstGeom>
                          <a:solidFill>
                            <a:schemeClr val="tx2"/>
                          </a:solidFill>
                          <a:ln w="6350" cap="flat" cmpd="sng" algn="ctr">
                            <a:solidFill>
                              <a:srgbClr val="024A53"/>
                            </a:solidFill>
                            <a:prstDash val="solid"/>
                            <a:miter lim="800000"/>
                          </a:ln>
                          <a:effectLst/>
                        </wps:spPr>
                        <wps:txbx>
                          <w:txbxContent>
                            <w:p w14:paraId="47363E76" w14:textId="77777777" w:rsidR="000B4CF0" w:rsidRPr="005115A5" w:rsidRDefault="000B4CF0" w:rsidP="000B4CF0">
                              <w:pPr>
                                <w:jc w:val="center"/>
                                <w:rPr>
                                  <w:sz w:val="22"/>
                                  <w:szCs w:val="22"/>
                                </w:rPr>
                              </w:pPr>
                              <w:r w:rsidRPr="00FA1EFB">
                                <w:rPr>
                                  <w:rFonts w:ascii="Cambria Math" w:hAnsi="Cambria Math" w:cs="Cambria Math"/>
                                  <w:color w:val="FFFFFF" w:themeColor="background1"/>
                                  <w:kern w:val="24"/>
                                  <w:sz w:val="22"/>
                                  <w:szCs w:val="22"/>
                                </w:rPr>
                                <w:t>❶</w:t>
                              </w:r>
                              <w:r w:rsidRPr="005115A5">
                                <w:rPr>
                                  <w:rFonts w:cstheme="minorBidi"/>
                                  <w:b/>
                                  <w:bCs/>
                                  <w:color w:val="FFFFFF" w:themeColor="background1"/>
                                  <w:kern w:val="24"/>
                                  <w:sz w:val="22"/>
                                  <w:szCs w:val="22"/>
                                </w:rPr>
                                <w:t xml:space="preserve"> DIRECT </w:t>
                              </w:r>
                            </w:p>
                            <w:p w14:paraId="07070857" w14:textId="77777777" w:rsidR="000B4CF0" w:rsidRPr="00EF2967" w:rsidRDefault="000B4CF0" w:rsidP="000B4CF0">
                              <w:pPr>
                                <w:jc w:val="center"/>
                                <w:rPr>
                                  <w:sz w:val="16"/>
                                  <w:szCs w:val="14"/>
                                </w:rPr>
                              </w:pPr>
                              <w:r w:rsidRPr="005115A5">
                                <w:rPr>
                                  <w:rFonts w:cstheme="minorBidi"/>
                                  <w:color w:val="FFFFFF" w:themeColor="background1"/>
                                  <w:kern w:val="24"/>
                                  <w:sz w:val="36"/>
                                  <w:szCs w:val="36"/>
                                </w:rPr>
                                <w:t>£5.1bn</w:t>
                              </w:r>
                            </w:p>
                          </w:txbxContent>
                        </wps:txbx>
                        <wps:bodyPr rtlCol="0" anchor="t" anchorCtr="0"/>
                      </wps:wsp>
                      <wps:wsp>
                        <wps:cNvPr id="230" name="Rounded Rectangle 13"/>
                        <wps:cNvSpPr/>
                        <wps:spPr>
                          <a:xfrm>
                            <a:off x="3070042" y="548422"/>
                            <a:ext cx="1976405" cy="1213764"/>
                          </a:xfrm>
                          <a:prstGeom prst="roundRect">
                            <a:avLst/>
                          </a:prstGeom>
                          <a:solidFill>
                            <a:schemeClr val="accent1">
                              <a:lumMod val="60000"/>
                              <a:lumOff val="40000"/>
                            </a:schemeClr>
                          </a:solidFill>
                          <a:ln w="6350" cap="flat" cmpd="sng" algn="ctr">
                            <a:solidFill>
                              <a:srgbClr val="008B9B"/>
                            </a:solidFill>
                            <a:prstDash val="solid"/>
                            <a:miter lim="800000"/>
                          </a:ln>
                          <a:effectLst/>
                        </wps:spPr>
                        <wps:txbx>
                          <w:txbxContent>
                            <w:p w14:paraId="658C59C0" w14:textId="7E77710B" w:rsidR="00BA29E3" w:rsidRPr="00DB4D11" w:rsidRDefault="000B4CF0" w:rsidP="00755DF8">
                              <w:pPr>
                                <w:jc w:val="center"/>
                                <w:rPr>
                                  <w:rFonts w:cstheme="minorBidi"/>
                                  <w:color w:val="FFFFFF" w:themeColor="background1"/>
                                  <w:kern w:val="24"/>
                                  <w:sz w:val="28"/>
                                  <w:szCs w:val="28"/>
                                </w:rPr>
                              </w:pPr>
                              <w:r w:rsidRPr="005115A5">
                                <w:rPr>
                                  <w:rFonts w:cstheme="minorBidi"/>
                                  <w:b/>
                                  <w:bCs/>
                                  <w:color w:val="FFFFFF" w:themeColor="background1"/>
                                  <w:kern w:val="24"/>
                                </w:rPr>
                                <w:t xml:space="preserve"> </w:t>
                              </w:r>
                              <w:r w:rsidRPr="00FA1EFB">
                                <w:rPr>
                                  <w:rFonts w:ascii="Cambria Math" w:hAnsi="Cambria Math" w:cs="Cambria Math"/>
                                  <w:color w:val="FFFFFF" w:themeColor="background1"/>
                                  <w:kern w:val="24"/>
                                  <w:sz w:val="22"/>
                                  <w:szCs w:val="22"/>
                                </w:rPr>
                                <w:t>❷</w:t>
                              </w:r>
                              <w:r w:rsidRPr="005115A5">
                                <w:rPr>
                                  <w:rFonts w:cstheme="minorBidi"/>
                                  <w:b/>
                                  <w:bCs/>
                                  <w:color w:val="FFFFFF" w:themeColor="background1"/>
                                  <w:kern w:val="24"/>
                                  <w:sz w:val="22"/>
                                  <w:szCs w:val="22"/>
                                </w:rPr>
                                <w:t xml:space="preserve"> INDIRECT</w:t>
                              </w:r>
                              <w:r w:rsidRPr="005115A5">
                                <w:rPr>
                                  <w:rFonts w:cstheme="minorBidi"/>
                                  <w:b/>
                                  <w:bCs/>
                                  <w:color w:val="FFFFFF" w:themeColor="background1"/>
                                  <w:kern w:val="24"/>
                                  <w:sz w:val="24"/>
                                  <w:szCs w:val="24"/>
                                </w:rPr>
                                <w:t xml:space="preserve"> </w:t>
                              </w:r>
                              <w:r w:rsidRPr="005115A5">
                                <w:rPr>
                                  <w:rFonts w:cstheme="minorBidi"/>
                                  <w:b/>
                                  <w:bCs/>
                                  <w:color w:val="FFFFFF" w:themeColor="background1"/>
                                  <w:kern w:val="24"/>
                                </w:rPr>
                                <w:br/>
                              </w:r>
                              <w:r w:rsidRPr="005115A5">
                                <w:rPr>
                                  <w:rFonts w:cstheme="minorBidi"/>
                                  <w:color w:val="FFFFFF" w:themeColor="background1"/>
                                  <w:kern w:val="24"/>
                                  <w:sz w:val="36"/>
                                  <w:szCs w:val="36"/>
                                </w:rPr>
                                <w:t>£2.5bn</w:t>
                              </w:r>
                              <w:r w:rsidR="00016F0B">
                                <w:rPr>
                                  <w:rFonts w:cstheme="minorBidi"/>
                                  <w:color w:val="FFFFFF" w:themeColor="background1"/>
                                  <w:kern w:val="24"/>
                                  <w:sz w:val="36"/>
                                  <w:szCs w:val="36"/>
                                </w:rPr>
                                <w:t xml:space="preserve"> </w:t>
                              </w:r>
                              <w:r w:rsidR="00016F0B" w:rsidRPr="00DB4D11">
                                <w:rPr>
                                  <w:rFonts w:cstheme="minorBidi"/>
                                  <w:color w:val="FFFFFF" w:themeColor="background1"/>
                                  <w:kern w:val="24"/>
                                  <w:sz w:val="28"/>
                                  <w:szCs w:val="28"/>
                                </w:rPr>
                                <w:t>(</w:t>
                              </w:r>
                              <w:r w:rsidR="00DB4D11" w:rsidRPr="00DB4D11">
                                <w:rPr>
                                  <w:rFonts w:cstheme="minorBidi"/>
                                  <w:color w:val="FFFFFF" w:themeColor="background1"/>
                                  <w:kern w:val="24"/>
                                  <w:sz w:val="28"/>
                                  <w:szCs w:val="28"/>
                                </w:rPr>
                                <w:t>0.49X)</w:t>
                              </w:r>
                            </w:p>
                          </w:txbxContent>
                        </wps:txbx>
                        <wps:bodyPr rtlCol="0" anchor="t" anchorCtr="0"/>
                      </wps:wsp>
                      <wps:wsp>
                        <wps:cNvPr id="231" name="Rounded Rectangle 14"/>
                        <wps:cNvSpPr/>
                        <wps:spPr>
                          <a:xfrm>
                            <a:off x="6128015" y="548421"/>
                            <a:ext cx="1810969" cy="1279840"/>
                          </a:xfrm>
                          <a:prstGeom prst="roundRect">
                            <a:avLst/>
                          </a:prstGeom>
                          <a:solidFill>
                            <a:schemeClr val="tx2">
                              <a:lumMod val="75000"/>
                            </a:schemeClr>
                          </a:solidFill>
                          <a:ln w="6350" cap="flat" cmpd="sng" algn="ctr">
                            <a:noFill/>
                            <a:prstDash val="solid"/>
                            <a:miter lim="800000"/>
                          </a:ln>
                          <a:effectLst/>
                        </wps:spPr>
                        <wps:txbx>
                          <w:txbxContent>
                            <w:p w14:paraId="35BE8E34" w14:textId="77777777" w:rsidR="002C57BB" w:rsidRDefault="000B4CF0" w:rsidP="002C57BB">
                              <w:pPr>
                                <w:jc w:val="center"/>
                                <w:rPr>
                                  <w:rFonts w:cstheme="minorBidi"/>
                                  <w:color w:val="FFFFFF" w:themeColor="background1"/>
                                  <w:kern w:val="24"/>
                                  <w:sz w:val="36"/>
                                  <w:szCs w:val="36"/>
                                </w:rPr>
                              </w:pPr>
                              <w:r w:rsidRPr="00FA1EFB">
                                <w:rPr>
                                  <w:rFonts w:ascii="Cambria Math" w:hAnsi="Cambria Math" w:cs="Cambria Math"/>
                                  <w:color w:val="FFFFFF" w:themeColor="background1"/>
                                  <w:kern w:val="24"/>
                                  <w:sz w:val="22"/>
                                  <w:szCs w:val="22"/>
                                </w:rPr>
                                <w:t>❸</w:t>
                              </w:r>
                              <w:r w:rsidRPr="005115A5">
                                <w:rPr>
                                  <w:rFonts w:cstheme="minorBidi"/>
                                  <w:b/>
                                  <w:bCs/>
                                  <w:color w:val="FFFFFF" w:themeColor="background1"/>
                                  <w:kern w:val="24"/>
                                  <w:sz w:val="22"/>
                                  <w:szCs w:val="22"/>
                                </w:rPr>
                                <w:t xml:space="preserve"> INDUCED</w:t>
                              </w:r>
                              <w:r w:rsidRPr="005115A5">
                                <w:rPr>
                                  <w:rFonts w:cstheme="minorBidi"/>
                                  <w:b/>
                                  <w:bCs/>
                                  <w:color w:val="FFFFFF" w:themeColor="background1"/>
                                  <w:kern w:val="24"/>
                                  <w:sz w:val="24"/>
                                  <w:szCs w:val="24"/>
                                </w:rPr>
                                <w:br/>
                              </w:r>
                              <w:r w:rsidRPr="005115A5">
                                <w:rPr>
                                  <w:rFonts w:cstheme="minorBidi"/>
                                  <w:color w:val="FFFFFF" w:themeColor="background1"/>
                                  <w:kern w:val="24"/>
                                  <w:sz w:val="36"/>
                                  <w:szCs w:val="36"/>
                                </w:rPr>
                                <w:t>£4.</w:t>
                              </w:r>
                              <w:r>
                                <w:rPr>
                                  <w:rFonts w:cstheme="minorBidi"/>
                                  <w:color w:val="FFFFFF" w:themeColor="background1"/>
                                  <w:kern w:val="24"/>
                                  <w:sz w:val="36"/>
                                  <w:szCs w:val="36"/>
                                </w:rPr>
                                <w:t>2</w:t>
                              </w:r>
                              <w:r w:rsidRPr="005115A5">
                                <w:rPr>
                                  <w:rFonts w:cstheme="minorBidi"/>
                                  <w:color w:val="FFFFFF" w:themeColor="background1"/>
                                  <w:kern w:val="24"/>
                                  <w:sz w:val="36"/>
                                  <w:szCs w:val="36"/>
                                </w:rPr>
                                <w:t>bn</w:t>
                              </w:r>
                            </w:p>
                            <w:p w14:paraId="41F46219" w14:textId="3D9FC7BE" w:rsidR="002C57BB" w:rsidRPr="002C57BB" w:rsidRDefault="002C57BB" w:rsidP="002C57BB">
                              <w:pPr>
                                <w:jc w:val="center"/>
                                <w:rPr>
                                  <w:rFonts w:cstheme="minorBidi"/>
                                  <w:color w:val="FFFFFF" w:themeColor="background1"/>
                                  <w:kern w:val="24"/>
                                  <w:sz w:val="36"/>
                                  <w:szCs w:val="36"/>
                                </w:rPr>
                              </w:pPr>
                              <w:r w:rsidRPr="002C57BB">
                                <w:rPr>
                                  <w:rFonts w:cstheme="minorBidi"/>
                                  <w:color w:val="FFFFFF" w:themeColor="background1"/>
                                  <w:kern w:val="24"/>
                                  <w:sz w:val="28"/>
                                  <w:szCs w:val="28"/>
                                </w:rPr>
                                <w:t>(0.81X)</w:t>
                              </w:r>
                            </w:p>
                          </w:txbxContent>
                        </wps:txbx>
                        <wps:bodyPr rtlCol="0" anchor="t" anchorCtr="0"/>
                      </wps:wsp>
                      <wps:wsp>
                        <wps:cNvPr id="232" name="Rectangle 232"/>
                        <wps:cNvSpPr/>
                        <wps:spPr>
                          <a:xfrm>
                            <a:off x="0" y="0"/>
                            <a:ext cx="8104420" cy="434440"/>
                          </a:xfrm>
                          <a:prstGeom prst="rect">
                            <a:avLst/>
                          </a:prstGeom>
                          <a:solidFill>
                            <a:schemeClr val="tx2">
                              <a:lumMod val="50000"/>
                            </a:schemeClr>
                          </a:solidFill>
                          <a:ln w="6350" cap="flat" cmpd="sng" algn="ctr">
                            <a:solidFill>
                              <a:srgbClr val="3A3737"/>
                            </a:solidFill>
                            <a:prstDash val="solid"/>
                            <a:miter lim="800000"/>
                          </a:ln>
                          <a:effectLst/>
                        </wps:spPr>
                        <wps:txbx>
                          <w:txbxContent>
                            <w:p w14:paraId="07E5048F" w14:textId="77777777" w:rsidR="000B4CF0" w:rsidRPr="005115A5" w:rsidRDefault="000B4CF0" w:rsidP="000B4CF0">
                              <w:pPr>
                                <w:spacing w:after="160" w:line="256" w:lineRule="auto"/>
                                <w:jc w:val="center"/>
                                <w:rPr>
                                  <w:sz w:val="36"/>
                                  <w:szCs w:val="36"/>
                                </w:rPr>
                              </w:pPr>
                              <w:r w:rsidRPr="005115A5">
                                <w:rPr>
                                  <w:rFonts w:eastAsia="Calibri"/>
                                  <w:color w:val="FFFFFF" w:themeColor="light1"/>
                                  <w:kern w:val="24"/>
                                  <w:sz w:val="36"/>
                                  <w:szCs w:val="36"/>
                                </w:rPr>
                                <w:t>GVA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6C04DB" id="Group 5" o:spid="_x0000_s1041" style="position:absolute;margin-left:440.3pt;margin-top:27.35pt;width:491.5pt;height:153pt;z-index:251663872;mso-position-horizontal:right;mso-position-horizontal-relative:margin;mso-width-relative:margin;mso-height-relative:margin" coordsize="81376,2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hBaxAQAAJEXAAAOAAAAZHJzL2Uyb0RvYy54bWzsWF1P4zgUfV9p/4OV96WxkyZpRBl1YEEr&#10;sbNomdE8m8RpIyV21nZpmV+/1zcf/WAYusAipIGHEie27/Xxufce+/jDuq7IrdCmVHLq0SPfI0Jm&#10;Ki/lfOp9+Xz+W+IRY7nMeaWkmHp3wngfTn795XjVpIKphapyoQlMIk26aqbewtomHY1MthA1N0eq&#10;ERI+FkrX3EJTz0e55iuYva5GzPej0UrpvNEqE8bA27P2o3eC8xeFyOxfRWGEJdXUA98s/mr8vXG/&#10;o5Njns41bxZl1rnBn+BFzUsJRoepzrjlZKnLe1PVZaaVUYU9ylQ9UkVRZgLXAKuh/t5qLrRaNriW&#10;ebqaNwNMAO0eTk+eNvt0e6Gb6+ZKAxKrZg5YYMutZV3o2v0HL8kaIbsbIBNrSzJ4GbGQ+WNANoNv&#10;dBIG1O9AzRaA/L1x2eL3bmRCgziKonYkCyiNo8Rtx6g3PNpxZ9UAQcwGA/M8DK4XvBEIrUkBgytN&#10;ynzqMQb+SF4DUc/USpKZ1mpFJs4tZx86DkiZ1ABoPUxEK6AWjYCS8IdM6FBjzGc0GXsE8EnGjMW4&#10;SJ4OAIbRxH12+EV+5IdobQCBp4029kKomriHqZeDX+gWGuG3l8a2oPX9nEtGVWV+XlYVNlwsidNK&#10;k1sOUcCzTEhLcXi1rP9Uefs+RM9hLp7Ca7d32D3qX4NLGJVuJtylHSOVJCsAgMWwepJxiOSi4hYe&#10;6wZwNXLuEV7NIUVkVqNpqZx/aM55fsbNojWI07ZxWZcWkkNV1gCdcwOZBX5U0nkpMLy79bvtaTfE&#10;Pd2o/A62FDcF/DFNdl6CkUtu7BXXEODwEpIWwLlQ+ptHVpAAwMt/llwLj1R/SGDXhIYhdLPYCMcx&#10;g4be/nKz/UUu61MF6FK0ho+uv636x0Kr+ivkqpmzCp+4zMB2i0fXOLVtYoJsl4nZDLtBlmi4vZTX&#10;TeYmd+t2cH1ef+W66ShhgUufVM9onu6Rou3rRko1W1pVlMiYDU6wm64B0dXS/BXCLP5OmFHcXufJ&#10;U+JszKIgDqDa9HGGcfQeZ+9x9jPHGcRDW87+BiXE5bwShDGsQD+OM5ctugIWBCyEqujKexJHtC3S&#10;m7hKqB+CBGgLWBiMoV7sVPF7BUyDJ5jH9tKUq3HOLOb/B2qXXTMcul23xluF4dECFQWoVQ6oT7tu&#10;6PnNUECDGSSauFvkTreXL2R2fbNGZTLs2Xtp29I7b7G0TYaQU0uZi5xsQo+yx5XkVuTRKG4Dbxwm&#10;IcOxm7ijkzgK/U44UubEdPhI4Dl/nDPPib5Wa+6wvpV+LxFZPgtn4+CVI2tQ931kbTRbr9FAx7aP&#10;nUJzILyyYgogw3aZ/D6tELLDE7oPIj1kmNLfCLMeOpMMh4/dM8lwVDnkTPIixPSTj5OPr0zMjR5+&#10;28yEI8+DzMSUdDAzI8oSn7ZnZWQmdZBv5TwQG5MIEixeNrB4ksAJrc1I/V1FfwrujkZwgfL8nOdc&#10;2FYcsZMcPRn6w/VDR+LD6fe/KvVBSFDE1G3J22YV5Kd7yjX4b/UTUiaoVtypDYf29GroDvk/ptAz&#10;K+Y+e34OvbqROj3N3AUZ7Mj7XYyGa5aD7mLwAhTufTG1dHfU7mJ5u41KZHOTfvIvAAAA//8DAFBL&#10;AwQUAAYACAAAACEAkXnD2t8AAAAHAQAADwAAAGRycy9kb3ducmV2LnhtbEyPzU7DMBCE70i8g7VI&#10;3KgTQv9CNlVVAaeqEi0S6m0bb5OosR3FbpK+PeYEx50ZzXybrUbdiJ47V1uDEE8iEGwKq2pTInwd&#10;3p8WIJwno6ixhhFu7GCV399llCo7mE/u974UocS4lBAq79tUSldUrMlNbMsmeGfbafLh7EqpOhpC&#10;uW7kcxTNpKbahIWKWt5UXFz2V43wMdCwTuK3fns5b27Hw3T3vY0Z8fFhXL+C8Dz6vzD84gd0yAPT&#10;yV6NcqJBCI94hOnLHERwl4skCCeEZBbNQeaZ/M+f/wAAAP//AwBQSwECLQAUAAYACAAAACEAtoM4&#10;kv4AAADhAQAAEwAAAAAAAAAAAAAAAAAAAAAAW0NvbnRlbnRfVHlwZXNdLnhtbFBLAQItABQABgAI&#10;AAAAIQA4/SH/1gAAAJQBAAALAAAAAAAAAAAAAAAAAC8BAABfcmVscy8ucmVsc1BLAQItABQABgAI&#10;AAAAIQCozhBaxAQAAJEXAAAOAAAAAAAAAAAAAAAAAC4CAABkcnMvZTJvRG9jLnhtbFBLAQItABQA&#10;BgAIAAAAIQCRecPa3wAAAAcBAAAPAAAAAAAAAAAAAAAAAB4HAABkcnMvZG93bnJldi54bWxQSwUG&#10;AAAAAAQABADzAAAAKg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 o:spid="_x0000_s1042" type="#_x0000_t67" style="position:absolute;left:22022;top:8522;width:6469;height:60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ACxAAAANwAAAAPAAAAZHJzL2Rvd25yZXYueG1sRI9BawIx&#10;FITvBf9DeEIvRbPuwcpqFBEFT1JXvT83z01w87Jsom7/fVMo9DjMzDfMYtW7RjypC9azgsk4A0Fc&#10;eW25VnA+7UYzECEia2w8k4JvCrBaDt4WWGj/4iM9y1iLBOFQoAITY1tIGSpDDsPYt8TJu/nOYUyy&#10;q6Xu8JXgrpF5lk2lQ8tpwWBLG0PVvXw4BZ9m/WEP5W5/ndwP7fZy3YTjl1Xqfdiv5yAi9fE//Nfe&#10;awV5PoXfM+kIyOUPAAAA//8DAFBLAQItABQABgAIAAAAIQDb4fbL7gAAAIUBAAATAAAAAAAAAAAA&#10;AAAAAAAAAABbQ29udGVudF9UeXBlc10ueG1sUEsBAi0AFAAGAAgAAAAhAFr0LFu/AAAAFQEAAAsA&#10;AAAAAAAAAAAAAAAAHwEAAF9yZWxzLy5yZWxzUEsBAi0AFAAGAAgAAAAhAM3/YALEAAAA3AAAAA8A&#10;AAAAAAAAAAAAAAAABwIAAGRycy9kb3ducmV2LnhtbFBLBQYAAAAAAwADALcAAAD4AgAAAAA=&#10;" adj="10800" fillcolor="#8ebbf0 [1300]" stroked="f" strokeweight="1pt"/>
                <v:shape id="Down Arrow 10" o:spid="_x0000_s1043" type="#_x0000_t67" style="position:absolute;left:52637;top:8523;width:6469;height:60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8WZxAAAANwAAAAPAAAAZHJzL2Rvd25yZXYueG1sRI9BawIx&#10;FITvBf9DeEIvRbPuocpqFBEFT1JXvT83z01w87Jsom7/fVMo9DjMzDfMYtW7RjypC9azgsk4A0Fc&#10;eW25VnA+7UYzECEia2w8k4JvCrBaDt4WWGj/4iM9y1iLBOFQoAITY1tIGSpDDsPYt8TJu/nOYUyy&#10;q6Xu8JXgrpF5ln1Kh5bTgsGWNoaqe/lwCqZm/WEP5W5/ndwP7fZy3YTjl1Xqfdiv5yAi9fE//Nfe&#10;awV5PoXfM+kIyOUPAAAA//8DAFBLAQItABQABgAIAAAAIQDb4fbL7gAAAIUBAAATAAAAAAAAAAAA&#10;AAAAAAAAAABbQ29udGVudF9UeXBlc10ueG1sUEsBAi0AFAAGAAgAAAAhAFr0LFu/AAAAFQEAAAsA&#10;AAAAAAAAAAAAAAAAHwEAAF9yZWxzLy5yZWxzUEsBAi0AFAAGAAgAAAAhAKKzxZnEAAAA3AAAAA8A&#10;AAAAAAAAAAAAAAAABwIAAGRycy9kb3ducmV2LnhtbFBLBQYAAAAAAwADALcAAAD4AgAAAAA=&#10;" adj="10800" fillcolor="#8ebbf0 [1300]" stroked="f" strokeweight="1pt"/>
                <v:rect id="Rectangle 228" o:spid="_x0000_s1044" style="position:absolute;left:332;top:18761;width:81044;height:4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HpjwAAAANwAAAAPAAAAZHJzL2Rvd25yZXYueG1sRE/Pa8Iw&#10;FL4L/g/hCd40XQ8inVFEJorMg90OPT6at6bYvJQk1e6/Xw4Djx/f781utJ14kA+tYwVvywwEce10&#10;y42C76/jYg0iRGSNnWNS8EsBdtvpZIOFdk++0aOMjUghHApUYGLsCylDbchiWLqeOHE/zluMCfpG&#10;ao/PFG47mWfZSlpsOTUY7OlgqL6Xg1Wwv1QXGj6ulcfz0Jxk/VmaKig1n437dxCRxvgS/7vPWkGe&#10;p7XpTDoCcvsHAAD//wMAUEsBAi0AFAAGAAgAAAAhANvh9svuAAAAhQEAABMAAAAAAAAAAAAAAAAA&#10;AAAAAFtDb250ZW50X1R5cGVzXS54bWxQSwECLQAUAAYACAAAACEAWvQsW78AAAAVAQAACwAAAAAA&#10;AAAAAAAAAAAfAQAAX3JlbHMvLnJlbHNQSwECLQAUAAYACAAAACEAlSx6Y8AAAADcAAAADwAAAAAA&#10;AAAAAAAAAAAHAgAAZHJzL2Rvd25yZXYueG1sUEsFBgAAAAADAAMAtwAAAPQCAAAAAA==&#10;" fillcolor="#0b2c54 [1615]" strokecolor="#3a3737" strokeweight=".5pt">
                  <v:textbox>
                    <w:txbxContent>
                      <w:p w14:paraId="7557E63A" w14:textId="77777777" w:rsidR="000B4CF0" w:rsidRPr="005115A5" w:rsidRDefault="000B4CF0" w:rsidP="000B4CF0">
                        <w:pPr>
                          <w:spacing w:after="160" w:line="256" w:lineRule="auto"/>
                          <w:jc w:val="center"/>
                          <w:rPr>
                            <w:sz w:val="36"/>
                            <w:szCs w:val="36"/>
                          </w:rPr>
                        </w:pPr>
                        <w:r w:rsidRPr="005115A5">
                          <w:rPr>
                            <w:rFonts w:eastAsia="Calibri"/>
                            <w:color w:val="FFFFFF" w:themeColor="light1"/>
                            <w:kern w:val="24"/>
                            <w:sz w:val="36"/>
                            <w:szCs w:val="36"/>
                          </w:rPr>
                          <w:t xml:space="preserve">Total </w:t>
                        </w:r>
                        <w:r>
                          <w:rPr>
                            <w:rFonts w:eastAsia="Calibri"/>
                            <w:color w:val="FFFFFF" w:themeColor="light1"/>
                            <w:kern w:val="24"/>
                            <w:sz w:val="36"/>
                            <w:szCs w:val="36"/>
                          </w:rPr>
                          <w:t>contribution</w:t>
                        </w:r>
                        <w:r w:rsidRPr="005115A5">
                          <w:rPr>
                            <w:rFonts w:eastAsia="Calibri"/>
                            <w:color w:val="FFFFFF" w:themeColor="light1"/>
                            <w:kern w:val="24"/>
                            <w:sz w:val="36"/>
                            <w:szCs w:val="36"/>
                          </w:rPr>
                          <w:t xml:space="preserve"> = </w:t>
                        </w:r>
                        <w:r w:rsidRPr="00FA1EFB">
                          <w:rPr>
                            <w:rFonts w:ascii="Cambria Math" w:eastAsia="Calibri" w:hAnsi="Cambria Math" w:cs="Cambria Math"/>
                            <w:b/>
                            <w:color w:val="FFFFFF" w:themeColor="light1"/>
                            <w:kern w:val="24"/>
                            <w:sz w:val="36"/>
                            <w:szCs w:val="36"/>
                          </w:rPr>
                          <w:t>❶</w:t>
                        </w:r>
                        <w:r w:rsidRPr="005115A5">
                          <w:rPr>
                            <w:rFonts w:eastAsia="Calibri"/>
                            <w:color w:val="FFFFFF" w:themeColor="light1"/>
                            <w:kern w:val="24"/>
                            <w:sz w:val="36"/>
                            <w:szCs w:val="36"/>
                          </w:rPr>
                          <w:t>+</w:t>
                        </w:r>
                        <w:r w:rsidRPr="005115A5">
                          <w:rPr>
                            <w:rFonts w:ascii="Cambria Math" w:eastAsia="Calibri" w:hAnsi="Cambria Math" w:cs="Cambria Math"/>
                            <w:color w:val="FFFFFF" w:themeColor="light1"/>
                            <w:kern w:val="24"/>
                            <w:sz w:val="36"/>
                            <w:szCs w:val="36"/>
                          </w:rPr>
                          <w:t>❷</w:t>
                        </w:r>
                        <w:r w:rsidRPr="005115A5">
                          <w:rPr>
                            <w:rFonts w:eastAsia="Calibri"/>
                            <w:color w:val="FFFFFF" w:themeColor="light1"/>
                            <w:kern w:val="24"/>
                            <w:sz w:val="36"/>
                            <w:szCs w:val="36"/>
                          </w:rPr>
                          <w:t>+</w:t>
                        </w:r>
                        <w:r w:rsidRPr="005115A5">
                          <w:rPr>
                            <w:rFonts w:ascii="Cambria Math" w:eastAsia="Calibri" w:hAnsi="Cambria Math" w:cs="Cambria Math"/>
                            <w:color w:val="FFFFFF" w:themeColor="light1"/>
                            <w:kern w:val="24"/>
                            <w:sz w:val="36"/>
                            <w:szCs w:val="36"/>
                          </w:rPr>
                          <w:t>❸</w:t>
                        </w:r>
                        <w:r w:rsidRPr="005115A5">
                          <w:rPr>
                            <w:rFonts w:eastAsia="Calibri"/>
                            <w:color w:val="FFFFFF" w:themeColor="light1"/>
                            <w:kern w:val="24"/>
                            <w:sz w:val="36"/>
                            <w:szCs w:val="36"/>
                          </w:rPr>
                          <w:t xml:space="preserve"> = </w:t>
                        </w:r>
                        <w:r w:rsidRPr="005115A5">
                          <w:rPr>
                            <w:rFonts w:ascii="Modern Era" w:eastAsia="Calibri" w:hAnsi="Modern Era" w:cs="Modern Era"/>
                            <w:color w:val="FFFFFF" w:themeColor="light1"/>
                            <w:kern w:val="24"/>
                            <w:sz w:val="36"/>
                            <w:szCs w:val="36"/>
                          </w:rPr>
                          <w:t>£</w:t>
                        </w:r>
                        <w:r w:rsidRPr="005115A5">
                          <w:rPr>
                            <w:rFonts w:eastAsia="Calibri"/>
                            <w:color w:val="FFFFFF" w:themeColor="light1"/>
                            <w:kern w:val="24"/>
                            <w:sz w:val="36"/>
                            <w:szCs w:val="36"/>
                          </w:rPr>
                          <w:t>11.</w:t>
                        </w:r>
                        <w:r>
                          <w:rPr>
                            <w:rFonts w:eastAsia="Calibri"/>
                            <w:color w:val="FFFFFF" w:themeColor="light1"/>
                            <w:kern w:val="24"/>
                            <w:sz w:val="36"/>
                            <w:szCs w:val="36"/>
                          </w:rPr>
                          <w:t>8</w:t>
                        </w:r>
                        <w:r w:rsidRPr="005115A5">
                          <w:rPr>
                            <w:rFonts w:eastAsia="Calibri"/>
                            <w:color w:val="FFFFFF" w:themeColor="light1"/>
                            <w:kern w:val="24"/>
                            <w:sz w:val="36"/>
                            <w:szCs w:val="36"/>
                          </w:rPr>
                          <w:t>bn</w:t>
                        </w:r>
                      </w:p>
                    </w:txbxContent>
                  </v:textbox>
                </v:rect>
                <v:roundrect id="Rounded Rectangle 12" o:spid="_x0000_s1045" style="position:absolute;left:16;top:5484;width:19764;height:121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vrxwwAAANwAAAAPAAAAZHJzL2Rvd25yZXYueG1sRI/RasJA&#10;FETfC/2H5Qp9qxsTEJu6ihQD9kVp7AfcZq9JNHs3ZDcx/r0rCH0cZuYMs1yPphEDda62rGA2jUAQ&#10;F1bXXCr4PWbvCxDOI2tsLJOCGzlYr15flphqe+UfGnJfigBhl6KCyvs2ldIVFRl0U9sSB+9kO4M+&#10;yK6UusNrgJtGxlE0lwZrDgsVtvRVUXHJe6PA7r9xxm5+KhaG/raHLMFznyj1Nhk3nyA8jf4//Gzv&#10;tII4/oDHmXAE5OoOAAD//wMAUEsBAi0AFAAGAAgAAAAhANvh9svuAAAAhQEAABMAAAAAAAAAAAAA&#10;AAAAAAAAAFtDb250ZW50X1R5cGVzXS54bWxQSwECLQAUAAYACAAAACEAWvQsW78AAAAVAQAACwAA&#10;AAAAAAAAAAAAAAAfAQAAX3JlbHMvLnJlbHNQSwECLQAUAAYACAAAACEA4cL68cMAAADcAAAADwAA&#10;AAAAAAAAAAAAAAAHAgAAZHJzL2Rvd25yZXYueG1sUEsFBgAAAAADAAMAtwAAAPcCAAAAAA==&#10;" fillcolor="#165baa [3215]" strokecolor="#024a53" strokeweight=".5pt">
                  <v:stroke joinstyle="miter"/>
                  <v:textbox>
                    <w:txbxContent>
                      <w:p w14:paraId="47363E76" w14:textId="77777777" w:rsidR="000B4CF0" w:rsidRPr="005115A5" w:rsidRDefault="000B4CF0" w:rsidP="000B4CF0">
                        <w:pPr>
                          <w:jc w:val="center"/>
                          <w:rPr>
                            <w:sz w:val="22"/>
                            <w:szCs w:val="22"/>
                          </w:rPr>
                        </w:pPr>
                        <w:r w:rsidRPr="00FA1EFB">
                          <w:rPr>
                            <w:rFonts w:ascii="Cambria Math" w:hAnsi="Cambria Math" w:cs="Cambria Math"/>
                            <w:color w:val="FFFFFF" w:themeColor="background1"/>
                            <w:kern w:val="24"/>
                            <w:sz w:val="22"/>
                            <w:szCs w:val="22"/>
                          </w:rPr>
                          <w:t>❶</w:t>
                        </w:r>
                        <w:r w:rsidRPr="005115A5">
                          <w:rPr>
                            <w:rFonts w:cstheme="minorBidi"/>
                            <w:b/>
                            <w:bCs/>
                            <w:color w:val="FFFFFF" w:themeColor="background1"/>
                            <w:kern w:val="24"/>
                            <w:sz w:val="22"/>
                            <w:szCs w:val="22"/>
                          </w:rPr>
                          <w:t xml:space="preserve"> DIRECT </w:t>
                        </w:r>
                      </w:p>
                      <w:p w14:paraId="07070857" w14:textId="77777777" w:rsidR="000B4CF0" w:rsidRPr="00EF2967" w:rsidRDefault="000B4CF0" w:rsidP="000B4CF0">
                        <w:pPr>
                          <w:jc w:val="center"/>
                          <w:rPr>
                            <w:sz w:val="16"/>
                            <w:szCs w:val="14"/>
                          </w:rPr>
                        </w:pPr>
                        <w:r w:rsidRPr="005115A5">
                          <w:rPr>
                            <w:rFonts w:cstheme="minorBidi"/>
                            <w:color w:val="FFFFFF" w:themeColor="background1"/>
                            <w:kern w:val="24"/>
                            <w:sz w:val="36"/>
                            <w:szCs w:val="36"/>
                          </w:rPr>
                          <w:t>£5.1bn</w:t>
                        </w:r>
                      </w:p>
                    </w:txbxContent>
                  </v:textbox>
                </v:roundrect>
                <v:roundrect id="Rounded Rectangle 13" o:spid="_x0000_s1046" style="position:absolute;left:30700;top:5484;width:19764;height:121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Xn3wgAAANwAAAAPAAAAZHJzL2Rvd25yZXYueG1sRE/LisIw&#10;FN0L8w/hDsxO0+mASjWKDCizGfCF0N2lubbV5qY2sVa/3iwEl4fzns47U4mWGldaVvA9iEAQZ1aX&#10;nCvY75b9MQjnkTVWlknBnRzMZx+9KSba3nhD7dbnIoSwS1BB4X2dSOmyggy6ga2JA3e0jUEfYJNL&#10;3eAthJtKxlE0lAZLDg0F1vRbUHbeXo2C//Vh9UjXiKNRTsv0VF7ukb8o9fXZLSYgPHX+LX65/7SC&#10;+CfMD2fCEZCzJwAAAP//AwBQSwECLQAUAAYACAAAACEA2+H2y+4AAACFAQAAEwAAAAAAAAAAAAAA&#10;AAAAAAAAW0NvbnRlbnRfVHlwZXNdLnhtbFBLAQItABQABgAIAAAAIQBa9CxbvwAAABUBAAALAAAA&#10;AAAAAAAAAAAAAB8BAABfcmVscy8ucmVsc1BLAQItABQABgAIAAAAIQDInXn3wgAAANwAAAAPAAAA&#10;AAAAAAAAAAAAAAcCAABkcnMvZG93bnJldi54bWxQSwUGAAAAAAMAAwC3AAAA9gIAAAAA&#10;" fillcolor="#559ae9 [1940]" strokecolor="#008b9b" strokeweight=".5pt">
                  <v:stroke joinstyle="miter"/>
                  <v:textbox>
                    <w:txbxContent>
                      <w:p w14:paraId="658C59C0" w14:textId="7E77710B" w:rsidR="00BA29E3" w:rsidRPr="00DB4D11" w:rsidRDefault="000B4CF0" w:rsidP="00755DF8">
                        <w:pPr>
                          <w:jc w:val="center"/>
                          <w:rPr>
                            <w:rFonts w:cstheme="minorBidi"/>
                            <w:color w:val="FFFFFF" w:themeColor="background1"/>
                            <w:kern w:val="24"/>
                            <w:sz w:val="28"/>
                            <w:szCs w:val="28"/>
                          </w:rPr>
                        </w:pPr>
                        <w:r w:rsidRPr="005115A5">
                          <w:rPr>
                            <w:rFonts w:cstheme="minorBidi"/>
                            <w:b/>
                            <w:bCs/>
                            <w:color w:val="FFFFFF" w:themeColor="background1"/>
                            <w:kern w:val="24"/>
                          </w:rPr>
                          <w:t xml:space="preserve"> </w:t>
                        </w:r>
                        <w:r w:rsidRPr="00FA1EFB">
                          <w:rPr>
                            <w:rFonts w:ascii="Cambria Math" w:hAnsi="Cambria Math" w:cs="Cambria Math"/>
                            <w:color w:val="FFFFFF" w:themeColor="background1"/>
                            <w:kern w:val="24"/>
                            <w:sz w:val="22"/>
                            <w:szCs w:val="22"/>
                          </w:rPr>
                          <w:t>❷</w:t>
                        </w:r>
                        <w:r w:rsidRPr="005115A5">
                          <w:rPr>
                            <w:rFonts w:cstheme="minorBidi"/>
                            <w:b/>
                            <w:bCs/>
                            <w:color w:val="FFFFFF" w:themeColor="background1"/>
                            <w:kern w:val="24"/>
                            <w:sz w:val="22"/>
                            <w:szCs w:val="22"/>
                          </w:rPr>
                          <w:t xml:space="preserve"> INDIRECT</w:t>
                        </w:r>
                        <w:r w:rsidRPr="005115A5">
                          <w:rPr>
                            <w:rFonts w:cstheme="minorBidi"/>
                            <w:b/>
                            <w:bCs/>
                            <w:color w:val="FFFFFF" w:themeColor="background1"/>
                            <w:kern w:val="24"/>
                            <w:sz w:val="24"/>
                            <w:szCs w:val="24"/>
                          </w:rPr>
                          <w:t xml:space="preserve"> </w:t>
                        </w:r>
                        <w:r w:rsidRPr="005115A5">
                          <w:rPr>
                            <w:rFonts w:cstheme="minorBidi"/>
                            <w:b/>
                            <w:bCs/>
                            <w:color w:val="FFFFFF" w:themeColor="background1"/>
                            <w:kern w:val="24"/>
                          </w:rPr>
                          <w:br/>
                        </w:r>
                        <w:r w:rsidRPr="005115A5">
                          <w:rPr>
                            <w:rFonts w:cstheme="minorBidi"/>
                            <w:color w:val="FFFFFF" w:themeColor="background1"/>
                            <w:kern w:val="24"/>
                            <w:sz w:val="36"/>
                            <w:szCs w:val="36"/>
                          </w:rPr>
                          <w:t>£2.5bn</w:t>
                        </w:r>
                        <w:r w:rsidR="00016F0B">
                          <w:rPr>
                            <w:rFonts w:cstheme="minorBidi"/>
                            <w:color w:val="FFFFFF" w:themeColor="background1"/>
                            <w:kern w:val="24"/>
                            <w:sz w:val="36"/>
                            <w:szCs w:val="36"/>
                          </w:rPr>
                          <w:t xml:space="preserve"> </w:t>
                        </w:r>
                        <w:r w:rsidR="00016F0B" w:rsidRPr="00DB4D11">
                          <w:rPr>
                            <w:rFonts w:cstheme="minorBidi"/>
                            <w:color w:val="FFFFFF" w:themeColor="background1"/>
                            <w:kern w:val="24"/>
                            <w:sz w:val="28"/>
                            <w:szCs w:val="28"/>
                          </w:rPr>
                          <w:t>(</w:t>
                        </w:r>
                        <w:r w:rsidR="00DB4D11" w:rsidRPr="00DB4D11">
                          <w:rPr>
                            <w:rFonts w:cstheme="minorBidi"/>
                            <w:color w:val="FFFFFF" w:themeColor="background1"/>
                            <w:kern w:val="24"/>
                            <w:sz w:val="28"/>
                            <w:szCs w:val="28"/>
                          </w:rPr>
                          <w:t>0.49X)</w:t>
                        </w:r>
                      </w:p>
                    </w:txbxContent>
                  </v:textbox>
                </v:roundrect>
                <v:roundrect id="Rounded Rectangle 14" o:spid="_x0000_s1047" style="position:absolute;left:61280;top:5484;width:18109;height:127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HsxQAAANwAAAAPAAAAZHJzL2Rvd25yZXYueG1sRI/dagIx&#10;FITvC32HcArelJpVQezWKNafIoiWqr0/bI67S5OTsIm6fXsjFHo5zHwzzHjaWiMu1ITasYJeNwNB&#10;XDhdc6ngeFi9jECEiKzROCYFvxRgOnl8GGOu3ZW/6LKPpUglHHJUUMXocylDUZHF0HWeOHkn11iM&#10;STal1A1eU7k1sp9lQ2mx5rRQoad5RcXP/mwV9HecvS4//Pb0uZiZ87v/Nptno1TnqZ29gYjUxv/w&#10;H73WiRv04H4mHQE5uQEAAP//AwBQSwECLQAUAAYACAAAACEA2+H2y+4AAACFAQAAEwAAAAAAAAAA&#10;AAAAAAAAAAAAW0NvbnRlbnRfVHlwZXNdLnhtbFBLAQItABQABgAIAAAAIQBa9CxbvwAAABUBAAAL&#10;AAAAAAAAAAAAAAAAAB8BAABfcmVscy8ucmVsc1BLAQItABQABgAIAAAAIQBZINHsxQAAANwAAAAP&#10;AAAAAAAAAAAAAAAAAAcCAABkcnMvZG93bnJldi54bWxQSwUGAAAAAAMAAwC3AAAA+QIAAAAA&#10;" fillcolor="#10437f [2415]" stroked="f" strokeweight=".5pt">
                  <v:stroke joinstyle="miter"/>
                  <v:textbox>
                    <w:txbxContent>
                      <w:p w14:paraId="35BE8E34" w14:textId="77777777" w:rsidR="002C57BB" w:rsidRDefault="000B4CF0" w:rsidP="002C57BB">
                        <w:pPr>
                          <w:jc w:val="center"/>
                          <w:rPr>
                            <w:rFonts w:cstheme="minorBidi"/>
                            <w:color w:val="FFFFFF" w:themeColor="background1"/>
                            <w:kern w:val="24"/>
                            <w:sz w:val="36"/>
                            <w:szCs w:val="36"/>
                          </w:rPr>
                        </w:pPr>
                        <w:r w:rsidRPr="00FA1EFB">
                          <w:rPr>
                            <w:rFonts w:ascii="Cambria Math" w:hAnsi="Cambria Math" w:cs="Cambria Math"/>
                            <w:color w:val="FFFFFF" w:themeColor="background1"/>
                            <w:kern w:val="24"/>
                            <w:sz w:val="22"/>
                            <w:szCs w:val="22"/>
                          </w:rPr>
                          <w:t>❸</w:t>
                        </w:r>
                        <w:r w:rsidRPr="005115A5">
                          <w:rPr>
                            <w:rFonts w:cstheme="minorBidi"/>
                            <w:b/>
                            <w:bCs/>
                            <w:color w:val="FFFFFF" w:themeColor="background1"/>
                            <w:kern w:val="24"/>
                            <w:sz w:val="22"/>
                            <w:szCs w:val="22"/>
                          </w:rPr>
                          <w:t xml:space="preserve"> INDUCED</w:t>
                        </w:r>
                        <w:r w:rsidRPr="005115A5">
                          <w:rPr>
                            <w:rFonts w:cstheme="minorBidi"/>
                            <w:b/>
                            <w:bCs/>
                            <w:color w:val="FFFFFF" w:themeColor="background1"/>
                            <w:kern w:val="24"/>
                            <w:sz w:val="24"/>
                            <w:szCs w:val="24"/>
                          </w:rPr>
                          <w:br/>
                        </w:r>
                        <w:r w:rsidRPr="005115A5">
                          <w:rPr>
                            <w:rFonts w:cstheme="minorBidi"/>
                            <w:color w:val="FFFFFF" w:themeColor="background1"/>
                            <w:kern w:val="24"/>
                            <w:sz w:val="36"/>
                            <w:szCs w:val="36"/>
                          </w:rPr>
                          <w:t>£4.</w:t>
                        </w:r>
                        <w:r>
                          <w:rPr>
                            <w:rFonts w:cstheme="minorBidi"/>
                            <w:color w:val="FFFFFF" w:themeColor="background1"/>
                            <w:kern w:val="24"/>
                            <w:sz w:val="36"/>
                            <w:szCs w:val="36"/>
                          </w:rPr>
                          <w:t>2</w:t>
                        </w:r>
                        <w:r w:rsidRPr="005115A5">
                          <w:rPr>
                            <w:rFonts w:cstheme="minorBidi"/>
                            <w:color w:val="FFFFFF" w:themeColor="background1"/>
                            <w:kern w:val="24"/>
                            <w:sz w:val="36"/>
                            <w:szCs w:val="36"/>
                          </w:rPr>
                          <w:t>bn</w:t>
                        </w:r>
                      </w:p>
                      <w:p w14:paraId="41F46219" w14:textId="3D9FC7BE" w:rsidR="002C57BB" w:rsidRPr="002C57BB" w:rsidRDefault="002C57BB" w:rsidP="002C57BB">
                        <w:pPr>
                          <w:jc w:val="center"/>
                          <w:rPr>
                            <w:rFonts w:cstheme="minorBidi"/>
                            <w:color w:val="FFFFFF" w:themeColor="background1"/>
                            <w:kern w:val="24"/>
                            <w:sz w:val="36"/>
                            <w:szCs w:val="36"/>
                          </w:rPr>
                        </w:pPr>
                        <w:r w:rsidRPr="002C57BB">
                          <w:rPr>
                            <w:rFonts w:cstheme="minorBidi"/>
                            <w:color w:val="FFFFFF" w:themeColor="background1"/>
                            <w:kern w:val="24"/>
                            <w:sz w:val="28"/>
                            <w:szCs w:val="28"/>
                          </w:rPr>
                          <w:t>(0.81X)</w:t>
                        </w:r>
                      </w:p>
                    </w:txbxContent>
                  </v:textbox>
                </v:roundrect>
                <v:rect id="Rectangle 232" o:spid="_x0000_s1048" style="position:absolute;width:81044;height:4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dtUxAAAANwAAAAPAAAAZHJzL2Rvd25yZXYueG1sRI9Ba8JA&#10;FITvBf/D8gRvdWOEUqKriFgq0h6a9pDjI/vMBrNvw+5G4793C4Ueh5n5hllvR9uJK/nQOlawmGcg&#10;iGunW24U/Hy/Pb+CCBFZY+eYFNwpwHYzeVpjod2Nv+haxkYkCIcCFZgY+0LKUBuyGOauJ07e2XmL&#10;MUnfSO3xluC2k3mWvUiLLacFgz3tDdWXcrAKdqfqRMPhs/J4HJp3WX+UpgpKzabjbgUi0hj/w3/t&#10;o1aQL3P4PZOOgNw8AAAA//8DAFBLAQItABQABgAIAAAAIQDb4fbL7gAAAIUBAAATAAAAAAAAAAAA&#10;AAAAAAAAAABbQ29udGVudF9UeXBlc10ueG1sUEsBAi0AFAAGAAgAAAAhAFr0LFu/AAAAFQEAAAsA&#10;AAAAAAAAAAAAAAAAHwEAAF9yZWxzLy5yZWxzUEsBAi0AFAAGAAgAAAAhAHEd21TEAAAA3AAAAA8A&#10;AAAAAAAAAAAAAAAABwIAAGRycy9kb3ducmV2LnhtbFBLBQYAAAAAAwADALcAAAD4AgAAAAA=&#10;" fillcolor="#0b2c54 [1615]" strokecolor="#3a3737" strokeweight=".5pt">
                  <v:textbox>
                    <w:txbxContent>
                      <w:p w14:paraId="07E5048F" w14:textId="77777777" w:rsidR="000B4CF0" w:rsidRPr="005115A5" w:rsidRDefault="000B4CF0" w:rsidP="000B4CF0">
                        <w:pPr>
                          <w:spacing w:after="160" w:line="256" w:lineRule="auto"/>
                          <w:jc w:val="center"/>
                          <w:rPr>
                            <w:sz w:val="36"/>
                            <w:szCs w:val="36"/>
                          </w:rPr>
                        </w:pPr>
                        <w:r w:rsidRPr="005115A5">
                          <w:rPr>
                            <w:rFonts w:eastAsia="Calibri"/>
                            <w:color w:val="FFFFFF" w:themeColor="light1"/>
                            <w:kern w:val="24"/>
                            <w:sz w:val="36"/>
                            <w:szCs w:val="36"/>
                          </w:rPr>
                          <w:t>GVA</w:t>
                        </w:r>
                      </w:p>
                    </w:txbxContent>
                  </v:textbox>
                </v:rect>
                <w10:wrap type="topAndBottom" anchorx="margin"/>
              </v:group>
            </w:pict>
          </mc:Fallback>
        </mc:AlternateContent>
      </w:r>
      <w:r w:rsidR="001C2888">
        <w:rPr>
          <w:b/>
          <w:bCs/>
        </w:rPr>
        <w:t>Figure 6: Aggregate GVA contribution</w:t>
      </w:r>
    </w:p>
    <w:p w14:paraId="484B06EB" w14:textId="1DAE4D1C" w:rsidR="00875540" w:rsidRDefault="00875540" w:rsidP="00875540"/>
    <w:p w14:paraId="68747032" w14:textId="286ACE3F" w:rsidR="001C2888" w:rsidRDefault="0047733F">
      <w:r w:rsidRPr="005115A5">
        <w:rPr>
          <w:b/>
          <w:bCs/>
          <w:noProof/>
        </w:rPr>
        <mc:AlternateContent>
          <mc:Choice Requires="wpg">
            <w:drawing>
              <wp:anchor distT="0" distB="0" distL="114300" distR="114300" simplePos="0" relativeHeight="251664896" behindDoc="0" locked="0" layoutInCell="1" allowOverlap="1" wp14:anchorId="79884ED8" wp14:editId="2477103E">
                <wp:simplePos x="0" y="0"/>
                <wp:positionH relativeFrom="margin">
                  <wp:align>left</wp:align>
                </wp:positionH>
                <wp:positionV relativeFrom="paragraph">
                  <wp:posOffset>464240</wp:posOffset>
                </wp:positionV>
                <wp:extent cx="6248400" cy="1943100"/>
                <wp:effectExtent l="0" t="0" r="19050" b="19050"/>
                <wp:wrapTopAndBottom/>
                <wp:docPr id="782519690" name="Group 5"/>
                <wp:cNvGraphicFramePr/>
                <a:graphic xmlns:a="http://schemas.openxmlformats.org/drawingml/2006/main">
                  <a:graphicData uri="http://schemas.microsoft.com/office/word/2010/wordprocessingGroup">
                    <wpg:wgp>
                      <wpg:cNvGrpSpPr/>
                      <wpg:grpSpPr>
                        <a:xfrm>
                          <a:off x="0" y="0"/>
                          <a:ext cx="6248400" cy="1943100"/>
                          <a:chOff x="0" y="0"/>
                          <a:chExt cx="8137666" cy="2311768"/>
                        </a:xfrm>
                      </wpg:grpSpPr>
                      <wps:wsp>
                        <wps:cNvPr id="1084133517" name="Down Arrow 9"/>
                        <wps:cNvSpPr/>
                        <wps:spPr>
                          <a:xfrm rot="16200000">
                            <a:off x="2202185" y="852278"/>
                            <a:ext cx="646985" cy="606049"/>
                          </a:xfrm>
                          <a:prstGeom prst="downArrow">
                            <a:avLst/>
                          </a:prstGeom>
                          <a:solidFill>
                            <a:schemeClr val="accent1">
                              <a:lumMod val="40000"/>
                              <a:lumOff val="60000"/>
                            </a:scheme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11665458" name="Down Arrow 10"/>
                        <wps:cNvSpPr/>
                        <wps:spPr>
                          <a:xfrm rot="16200000">
                            <a:off x="5263738" y="852279"/>
                            <a:ext cx="646985" cy="606049"/>
                          </a:xfrm>
                          <a:prstGeom prst="downArrow">
                            <a:avLst/>
                          </a:prstGeom>
                          <a:solidFill>
                            <a:schemeClr val="accent1">
                              <a:lumMod val="40000"/>
                              <a:lumOff val="60000"/>
                            </a:scheme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18612758" name="Rectangle 918612758"/>
                        <wps:cNvSpPr/>
                        <wps:spPr>
                          <a:xfrm>
                            <a:off x="33246" y="1876168"/>
                            <a:ext cx="8104420" cy="435600"/>
                          </a:xfrm>
                          <a:prstGeom prst="rect">
                            <a:avLst/>
                          </a:prstGeom>
                          <a:solidFill>
                            <a:schemeClr val="tx2">
                              <a:lumMod val="50000"/>
                            </a:schemeClr>
                          </a:solidFill>
                          <a:ln w="6350" cap="flat" cmpd="sng" algn="ctr">
                            <a:solidFill>
                              <a:srgbClr val="3A3737"/>
                            </a:solidFill>
                            <a:prstDash val="solid"/>
                            <a:miter lim="800000"/>
                          </a:ln>
                          <a:effectLst/>
                        </wps:spPr>
                        <wps:txbx>
                          <w:txbxContent>
                            <w:p w14:paraId="6956500A" w14:textId="77777777" w:rsidR="002A299F" w:rsidRPr="005115A5" w:rsidRDefault="002A299F" w:rsidP="002A299F">
                              <w:pPr>
                                <w:spacing w:after="160" w:line="256" w:lineRule="auto"/>
                                <w:jc w:val="center"/>
                                <w:rPr>
                                  <w:sz w:val="36"/>
                                  <w:szCs w:val="36"/>
                                </w:rPr>
                              </w:pPr>
                              <w:r w:rsidRPr="005115A5">
                                <w:rPr>
                                  <w:rFonts w:eastAsia="Calibri"/>
                                  <w:color w:val="FFFFFF" w:themeColor="light1"/>
                                  <w:kern w:val="24"/>
                                  <w:sz w:val="36"/>
                                  <w:szCs w:val="36"/>
                                </w:rPr>
                                <w:t xml:space="preserve">Total </w:t>
                              </w:r>
                              <w:r>
                                <w:rPr>
                                  <w:rFonts w:eastAsia="Calibri"/>
                                  <w:color w:val="FFFFFF" w:themeColor="light1"/>
                                  <w:kern w:val="24"/>
                                  <w:sz w:val="36"/>
                                  <w:szCs w:val="36"/>
                                </w:rPr>
                                <w:t>contribution</w:t>
                              </w:r>
                              <w:r w:rsidRPr="005115A5">
                                <w:rPr>
                                  <w:rFonts w:eastAsia="Calibri"/>
                                  <w:color w:val="FFFFFF" w:themeColor="light1"/>
                                  <w:kern w:val="24"/>
                                  <w:sz w:val="36"/>
                                  <w:szCs w:val="36"/>
                                </w:rPr>
                                <w:t xml:space="preserve"> = </w:t>
                              </w:r>
                              <w:r w:rsidRPr="005115A5">
                                <w:rPr>
                                  <w:rFonts w:ascii="Cambria Math" w:eastAsia="Calibri" w:hAnsi="Cambria Math" w:cs="Cambria Math"/>
                                  <w:color w:val="FFFFFF" w:themeColor="light1"/>
                                  <w:kern w:val="24"/>
                                  <w:sz w:val="36"/>
                                  <w:szCs w:val="36"/>
                                </w:rPr>
                                <w:t>❶</w:t>
                              </w:r>
                              <w:r w:rsidRPr="005115A5">
                                <w:rPr>
                                  <w:rFonts w:eastAsia="Calibri"/>
                                  <w:color w:val="FFFFFF" w:themeColor="light1"/>
                                  <w:kern w:val="24"/>
                                  <w:sz w:val="36"/>
                                  <w:szCs w:val="36"/>
                                </w:rPr>
                                <w:t>+</w:t>
                              </w:r>
                              <w:r w:rsidRPr="005115A5">
                                <w:rPr>
                                  <w:rFonts w:ascii="Cambria Math" w:eastAsia="Calibri" w:hAnsi="Cambria Math" w:cs="Cambria Math"/>
                                  <w:color w:val="FFFFFF" w:themeColor="light1"/>
                                  <w:kern w:val="24"/>
                                  <w:sz w:val="36"/>
                                  <w:szCs w:val="36"/>
                                </w:rPr>
                                <w:t>❷</w:t>
                              </w:r>
                              <w:r w:rsidRPr="005115A5">
                                <w:rPr>
                                  <w:rFonts w:eastAsia="Calibri"/>
                                  <w:color w:val="FFFFFF" w:themeColor="light1"/>
                                  <w:kern w:val="24"/>
                                  <w:sz w:val="36"/>
                                  <w:szCs w:val="36"/>
                                </w:rPr>
                                <w:t>+</w:t>
                              </w:r>
                              <w:r w:rsidRPr="005115A5">
                                <w:rPr>
                                  <w:rFonts w:ascii="Cambria Math" w:eastAsia="Calibri" w:hAnsi="Cambria Math" w:cs="Cambria Math"/>
                                  <w:color w:val="FFFFFF" w:themeColor="light1"/>
                                  <w:kern w:val="24"/>
                                  <w:sz w:val="36"/>
                                  <w:szCs w:val="36"/>
                                </w:rPr>
                                <w:t>❸</w:t>
                              </w:r>
                              <w:r w:rsidRPr="005115A5">
                                <w:rPr>
                                  <w:rFonts w:eastAsia="Calibri"/>
                                  <w:color w:val="FFFFFF" w:themeColor="light1"/>
                                  <w:kern w:val="24"/>
                                  <w:sz w:val="36"/>
                                  <w:szCs w:val="36"/>
                                </w:rPr>
                                <w:t xml:space="preserve"> = </w:t>
                              </w:r>
                              <w:r>
                                <w:rPr>
                                  <w:rFonts w:ascii="Modern Era" w:eastAsia="Calibri" w:hAnsi="Modern Era" w:cs="Modern Era"/>
                                  <w:color w:val="FFFFFF" w:themeColor="light1"/>
                                  <w:kern w:val="24"/>
                                  <w:sz w:val="36"/>
                                  <w:szCs w:val="36"/>
                                </w:rPr>
                                <w:t>230,600 FTE workers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5757647" name="Rounded Rectangle 12"/>
                        <wps:cNvSpPr/>
                        <wps:spPr>
                          <a:xfrm>
                            <a:off x="1676" y="548422"/>
                            <a:ext cx="1976405" cy="1213764"/>
                          </a:xfrm>
                          <a:prstGeom prst="roundRect">
                            <a:avLst/>
                          </a:prstGeom>
                          <a:solidFill>
                            <a:schemeClr val="tx2"/>
                          </a:solidFill>
                          <a:ln w="6350" cap="flat" cmpd="sng" algn="ctr">
                            <a:solidFill>
                              <a:srgbClr val="024A53"/>
                            </a:solidFill>
                            <a:prstDash val="solid"/>
                            <a:miter lim="800000"/>
                          </a:ln>
                          <a:effectLst/>
                        </wps:spPr>
                        <wps:txbx>
                          <w:txbxContent>
                            <w:p w14:paraId="2F49868C" w14:textId="77777777" w:rsidR="002A299F" w:rsidRPr="005115A5" w:rsidRDefault="002A299F" w:rsidP="002A299F">
                              <w:pPr>
                                <w:jc w:val="center"/>
                                <w:rPr>
                                  <w:sz w:val="22"/>
                                  <w:szCs w:val="22"/>
                                </w:rPr>
                              </w:pPr>
                              <w:r w:rsidRPr="00FA1EFB">
                                <w:rPr>
                                  <w:rFonts w:ascii="Cambria Math" w:hAnsi="Cambria Math" w:cs="Cambria Math"/>
                                  <w:color w:val="FFFFFF" w:themeColor="background1"/>
                                  <w:kern w:val="24"/>
                                  <w:sz w:val="22"/>
                                  <w:szCs w:val="22"/>
                                </w:rPr>
                                <w:t>❶</w:t>
                              </w:r>
                              <w:r w:rsidRPr="005115A5">
                                <w:rPr>
                                  <w:rFonts w:cstheme="minorBidi"/>
                                  <w:b/>
                                  <w:bCs/>
                                  <w:color w:val="FFFFFF" w:themeColor="background1"/>
                                  <w:kern w:val="24"/>
                                  <w:sz w:val="22"/>
                                  <w:szCs w:val="22"/>
                                </w:rPr>
                                <w:t xml:space="preserve"> DIRECT </w:t>
                              </w:r>
                            </w:p>
                            <w:p w14:paraId="32BB6674" w14:textId="77777777" w:rsidR="002A299F" w:rsidRPr="00EF2967" w:rsidRDefault="002A299F" w:rsidP="002A299F">
                              <w:pPr>
                                <w:jc w:val="center"/>
                                <w:rPr>
                                  <w:sz w:val="16"/>
                                  <w:szCs w:val="14"/>
                                </w:rPr>
                              </w:pPr>
                              <w:r>
                                <w:rPr>
                                  <w:rFonts w:cstheme="minorBidi"/>
                                  <w:color w:val="FFFFFF" w:themeColor="background1"/>
                                  <w:kern w:val="24"/>
                                  <w:sz w:val="36"/>
                                  <w:szCs w:val="36"/>
                                </w:rPr>
                                <w:t>150,400</w:t>
                              </w:r>
                            </w:p>
                          </w:txbxContent>
                        </wps:txbx>
                        <wps:bodyPr rtlCol="0" anchor="t" anchorCtr="0"/>
                      </wps:wsp>
                      <wps:wsp>
                        <wps:cNvPr id="877275913" name="Rounded Rectangle 13"/>
                        <wps:cNvSpPr/>
                        <wps:spPr>
                          <a:xfrm>
                            <a:off x="3070042" y="548422"/>
                            <a:ext cx="1976405" cy="1213764"/>
                          </a:xfrm>
                          <a:prstGeom prst="roundRect">
                            <a:avLst/>
                          </a:prstGeom>
                          <a:solidFill>
                            <a:schemeClr val="accent1">
                              <a:lumMod val="60000"/>
                              <a:lumOff val="40000"/>
                            </a:schemeClr>
                          </a:solidFill>
                          <a:ln w="6350" cap="flat" cmpd="sng" algn="ctr">
                            <a:solidFill>
                              <a:srgbClr val="008B9B"/>
                            </a:solidFill>
                            <a:prstDash val="solid"/>
                            <a:miter lim="800000"/>
                          </a:ln>
                          <a:effectLst/>
                        </wps:spPr>
                        <wps:txbx>
                          <w:txbxContent>
                            <w:p w14:paraId="376761A3" w14:textId="17238AE9" w:rsidR="002A299F" w:rsidRDefault="002A299F" w:rsidP="002A299F">
                              <w:pPr>
                                <w:jc w:val="center"/>
                                <w:rPr>
                                  <w:rFonts w:cstheme="minorBidi"/>
                                  <w:color w:val="FFFFFF" w:themeColor="background1"/>
                                  <w:kern w:val="24"/>
                                  <w:sz w:val="36"/>
                                  <w:szCs w:val="36"/>
                                </w:rPr>
                              </w:pPr>
                              <w:r w:rsidRPr="005115A5">
                                <w:rPr>
                                  <w:rFonts w:cstheme="minorBidi"/>
                                  <w:b/>
                                  <w:bCs/>
                                  <w:color w:val="FFFFFF" w:themeColor="background1"/>
                                  <w:kern w:val="24"/>
                                </w:rPr>
                                <w:t xml:space="preserve"> </w:t>
                              </w:r>
                              <w:r w:rsidRPr="00FA1EFB">
                                <w:rPr>
                                  <w:rFonts w:ascii="Cambria Math" w:hAnsi="Cambria Math" w:cs="Cambria Math"/>
                                  <w:color w:val="FFFFFF" w:themeColor="background1"/>
                                  <w:kern w:val="24"/>
                                  <w:sz w:val="22"/>
                                  <w:szCs w:val="22"/>
                                </w:rPr>
                                <w:t>❷</w:t>
                              </w:r>
                              <w:r w:rsidRPr="005115A5">
                                <w:rPr>
                                  <w:rFonts w:cstheme="minorBidi"/>
                                  <w:b/>
                                  <w:bCs/>
                                  <w:color w:val="FFFFFF" w:themeColor="background1"/>
                                  <w:kern w:val="24"/>
                                  <w:sz w:val="22"/>
                                  <w:szCs w:val="22"/>
                                </w:rPr>
                                <w:t xml:space="preserve"> INDIRECT</w:t>
                              </w:r>
                              <w:r w:rsidRPr="005115A5">
                                <w:rPr>
                                  <w:rFonts w:cstheme="minorBidi"/>
                                  <w:b/>
                                  <w:bCs/>
                                  <w:color w:val="FFFFFF" w:themeColor="background1"/>
                                  <w:kern w:val="24"/>
                                  <w:sz w:val="24"/>
                                  <w:szCs w:val="24"/>
                                </w:rPr>
                                <w:t xml:space="preserve"> </w:t>
                              </w:r>
                              <w:r w:rsidRPr="005115A5">
                                <w:rPr>
                                  <w:rFonts w:cstheme="minorBidi"/>
                                  <w:b/>
                                  <w:bCs/>
                                  <w:color w:val="FFFFFF" w:themeColor="background1"/>
                                  <w:kern w:val="24"/>
                                </w:rPr>
                                <w:br/>
                              </w:r>
                              <w:r>
                                <w:rPr>
                                  <w:rFonts w:cstheme="minorBidi"/>
                                  <w:color w:val="FFFFFF" w:themeColor="background1"/>
                                  <w:kern w:val="24"/>
                                  <w:sz w:val="36"/>
                                  <w:szCs w:val="36"/>
                                </w:rPr>
                                <w:t>34,800</w:t>
                              </w:r>
                            </w:p>
                            <w:p w14:paraId="1C1C56F3" w14:textId="645CE0EC" w:rsidR="00D260C2" w:rsidRPr="006E309D" w:rsidRDefault="00D260C2" w:rsidP="002A299F">
                              <w:pPr>
                                <w:jc w:val="center"/>
                                <w:rPr>
                                  <w:sz w:val="28"/>
                                  <w:szCs w:val="28"/>
                                </w:rPr>
                              </w:pPr>
                              <w:r w:rsidRPr="006E309D">
                                <w:rPr>
                                  <w:rFonts w:cstheme="minorBidi"/>
                                  <w:color w:val="FFFFFF" w:themeColor="background1"/>
                                  <w:kern w:val="24"/>
                                  <w:sz w:val="28"/>
                                  <w:szCs w:val="28"/>
                                </w:rPr>
                                <w:t>(0.23X)</w:t>
                              </w:r>
                            </w:p>
                          </w:txbxContent>
                        </wps:txbx>
                        <wps:bodyPr rtlCol="0" anchor="t" anchorCtr="0"/>
                      </wps:wsp>
                      <wps:wsp>
                        <wps:cNvPr id="644218377" name="Rounded Rectangle 14"/>
                        <wps:cNvSpPr/>
                        <wps:spPr>
                          <a:xfrm>
                            <a:off x="6128015" y="548422"/>
                            <a:ext cx="1976405" cy="1213764"/>
                          </a:xfrm>
                          <a:prstGeom prst="roundRect">
                            <a:avLst/>
                          </a:prstGeom>
                          <a:solidFill>
                            <a:schemeClr val="tx2">
                              <a:lumMod val="75000"/>
                            </a:schemeClr>
                          </a:solidFill>
                          <a:ln w="6350" cap="flat" cmpd="sng" algn="ctr">
                            <a:noFill/>
                            <a:prstDash val="solid"/>
                            <a:miter lim="800000"/>
                          </a:ln>
                          <a:effectLst/>
                        </wps:spPr>
                        <wps:txbx>
                          <w:txbxContent>
                            <w:p w14:paraId="3202DDB9" w14:textId="02E250B8" w:rsidR="002A299F" w:rsidRDefault="002A299F" w:rsidP="002A299F">
                              <w:pPr>
                                <w:jc w:val="center"/>
                                <w:rPr>
                                  <w:rFonts w:cstheme="minorBidi"/>
                                  <w:color w:val="FFFFFF" w:themeColor="background1"/>
                                  <w:kern w:val="24"/>
                                  <w:sz w:val="36"/>
                                  <w:szCs w:val="36"/>
                                </w:rPr>
                              </w:pPr>
                              <w:r w:rsidRPr="00FA1EFB">
                                <w:rPr>
                                  <w:rFonts w:ascii="Cambria Math" w:hAnsi="Cambria Math" w:cs="Cambria Math"/>
                                  <w:color w:val="FFFFFF" w:themeColor="background1"/>
                                  <w:kern w:val="24"/>
                                  <w:sz w:val="22"/>
                                  <w:szCs w:val="22"/>
                                </w:rPr>
                                <w:t>❸</w:t>
                              </w:r>
                              <w:r w:rsidRPr="005115A5">
                                <w:rPr>
                                  <w:rFonts w:cstheme="minorBidi"/>
                                  <w:b/>
                                  <w:bCs/>
                                  <w:color w:val="FFFFFF" w:themeColor="background1"/>
                                  <w:kern w:val="24"/>
                                  <w:sz w:val="22"/>
                                  <w:szCs w:val="22"/>
                                </w:rPr>
                                <w:t xml:space="preserve"> INDUCED</w:t>
                              </w:r>
                              <w:r w:rsidRPr="005115A5">
                                <w:rPr>
                                  <w:rFonts w:cstheme="minorBidi"/>
                                  <w:b/>
                                  <w:bCs/>
                                  <w:color w:val="FFFFFF" w:themeColor="background1"/>
                                  <w:kern w:val="24"/>
                                  <w:sz w:val="24"/>
                                  <w:szCs w:val="24"/>
                                </w:rPr>
                                <w:br/>
                              </w:r>
                              <w:r>
                                <w:rPr>
                                  <w:rFonts w:cstheme="minorBidi"/>
                                  <w:color w:val="FFFFFF" w:themeColor="background1"/>
                                  <w:kern w:val="24"/>
                                  <w:sz w:val="36"/>
                                  <w:szCs w:val="36"/>
                                </w:rPr>
                                <w:t>45,400</w:t>
                              </w:r>
                            </w:p>
                            <w:p w14:paraId="3CFCB508" w14:textId="241CADCD" w:rsidR="006E309D" w:rsidRPr="006E309D" w:rsidRDefault="006E309D" w:rsidP="002A299F">
                              <w:pPr>
                                <w:jc w:val="center"/>
                                <w:rPr>
                                  <w:sz w:val="28"/>
                                  <w:szCs w:val="28"/>
                                </w:rPr>
                              </w:pPr>
                              <w:r w:rsidRPr="006E309D">
                                <w:rPr>
                                  <w:rFonts w:cstheme="minorBidi"/>
                                  <w:color w:val="FFFFFF" w:themeColor="background1"/>
                                  <w:kern w:val="24"/>
                                  <w:sz w:val="28"/>
                                  <w:szCs w:val="28"/>
                                </w:rPr>
                                <w:t>(0.30X)</w:t>
                              </w:r>
                            </w:p>
                          </w:txbxContent>
                        </wps:txbx>
                        <wps:bodyPr rtlCol="0" anchor="t" anchorCtr="0"/>
                      </wps:wsp>
                      <wps:wsp>
                        <wps:cNvPr id="1807383490" name="Rectangle 1807383490"/>
                        <wps:cNvSpPr/>
                        <wps:spPr>
                          <a:xfrm>
                            <a:off x="0" y="0"/>
                            <a:ext cx="8104420" cy="434440"/>
                          </a:xfrm>
                          <a:prstGeom prst="rect">
                            <a:avLst/>
                          </a:prstGeom>
                          <a:solidFill>
                            <a:schemeClr val="tx2">
                              <a:lumMod val="50000"/>
                            </a:schemeClr>
                          </a:solidFill>
                          <a:ln w="6350" cap="flat" cmpd="sng" algn="ctr">
                            <a:solidFill>
                              <a:srgbClr val="3A3737"/>
                            </a:solidFill>
                            <a:prstDash val="solid"/>
                            <a:miter lim="800000"/>
                          </a:ln>
                          <a:effectLst/>
                        </wps:spPr>
                        <wps:txbx>
                          <w:txbxContent>
                            <w:p w14:paraId="43C4417F" w14:textId="77777777" w:rsidR="002A299F" w:rsidRPr="005115A5" w:rsidRDefault="002A299F" w:rsidP="002A299F">
                              <w:pPr>
                                <w:spacing w:after="160" w:line="256" w:lineRule="auto"/>
                                <w:jc w:val="center"/>
                                <w:rPr>
                                  <w:sz w:val="36"/>
                                  <w:szCs w:val="36"/>
                                </w:rPr>
                              </w:pPr>
                              <w:r>
                                <w:rPr>
                                  <w:rFonts w:eastAsia="Calibri"/>
                                  <w:color w:val="FFFFFF" w:themeColor="light1"/>
                                  <w:kern w:val="24"/>
                                  <w:sz w:val="36"/>
                                  <w:szCs w:val="36"/>
                                </w:rPr>
                                <w:t>Employment (FTE)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884ED8" id="_x0000_s1049" style="position:absolute;margin-left:0;margin-top:36.55pt;width:492pt;height:153pt;z-index:251664896;mso-position-horizontal:left;mso-position-horizontal-relative:margin;mso-width-relative:margin;mso-height-relative:margin" coordsize="81376,2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6CQ2wQAAMwXAAAOAAAAZHJzL2Uyb0RvYy54bWzsWNtu4zYQfS/QfyD03ljUhZKNOAtv0gQF&#10;tttgs8U+M7rYAiRRpejI2a/vzOjqZNO42WSRosmDI96Hh2dmDnn8blfk7CbRdabKpcWPbIslZaTi&#10;rFwvrT8/n/8SWqw2soxlrspkad0mtfXu5OefjptqkThqo/I40QwmKetFUy2tjTHVYjaro01SyPpI&#10;VUkJjanShTRQ1OtZrGUDsxf5zLFtMWuUjiutoqSuofasbbROaP40TSLzR5rWiWH50gLbDP1q+r3G&#10;39nJsVystaw2WdSZIZ9gRSGzEhYdpjqTRrKtzu5NVWSRVrVKzVGkiplK0yxKaA+wG27f2c2FVtuK&#10;9rJeNOtqgAmgvYPTk6eNPt5c6OqqutSARFOtAQsq4V52qS7wP1jJdgTZ7QBZsjMsgkrheKFnA7IR&#10;tPG553IoEKjRBpC/Ny7a/NqNDLkbCCHakY7LeSBCHDnrF57tmdNUQJB6xKD+PgyuNrJKCNp6ARhc&#10;apbFsAE79Ljr+jywWCkL4OuZakq20lo1bI7WoRnQfwCsXtSAXY8W0woYxgUwE/6IEB14jmM7PPQt&#10;BjCFvuMEtFe5GHD0xBybEUZhC9uj1QYs5KLStblIVMHwY2nFYBeZRYvImw+1abHr+6FJtcqz+DzL&#10;cyqgSyWnuWY3EpxBRlFSGk7D823xu4rbejjM/gShGo+Quou+Gkwi58SZ6LD2FslL1gAATkCUkODQ&#10;aS4NbKuoAN66XFtM5muIFJHRtHSp0D4iDFp+JutNuyBN2zKpyAzEiDwrADo0gwgGduQl7ishL+/2&#10;j8fTHgh+Xav4Fk6WDgUoWlfReQaLfJC1uZQa/BwqIXYBnBulv1qsgTgAVv61lTqxWP5bCSSbc8/D&#10;wEEFzw8cKOhpy/W0pdwWpwrQ5bQafWJ/k/efqVbFFwhZK1wVmmQZwdotHl3h1LTxCYJelKxW1A2C&#10;RSXNh/KqinBy3DfC9Xn3Reqqo4QBLn1UPbHl4g4p2r44slSrrVFpRowZcYLTxAI4WUvzF/c2wbkQ&#10;vudDirjnbJwOGe15irf5jnADF+btvY286c3b3rzt/+ttcx4KCMyjt30CcSTLdZ6wsenRDIfxo0tp&#10;rut4kL4x74eB4G32Hn0s5LbnYbTElOa5PmSQvfR+L6VpsIci253AhVkPl6WM8EA2MzuHhk4zmT9J&#10;FY+mLOH6aOoBGWvfDL2+HlKqu4KgE3Sb3Ov2/KnN7K53rWRxe1nylu0mEuj1ZTvX9gM/EN4gLT+p&#10;bRknMRv9kDv9WT6c9CYOyEXQ+p8PGtyhsaP78TmsZXeKkjsotr1H/A/tQWO+xwlbEbpH/lYTPoeD&#10;2Y638onvqEKn4vYlHYxgG2XSVM316g0UbvvZaTdE4cdqqTAIILbPudtrqW+wa4gUB7HLtUHEew4F&#10;+FdCsIfuLMPlBO4EkzvLcJU55M7yLPy0w/fz9z86Afh90OgTwHjbeD38FKAFeOgG/xT9Bkc7iJ8g&#10;ZkKbtzfqV8LPb6mQAGVIT4n+Cv7QxflwEr6okh/FhfgvcIuHNlz2XG8OCq69SE5S6tj2b7QtzASq&#10;lc5tTKl3FK2HDwNtvutfyjANTR5p3hTtyP1HH2tG0pGEniZcfFSDE3l7v9HwNHPQ+w29ncKTMQWa&#10;7nkb36SnZdIo4yP8yd8AAAD//wMAUEsDBBQABgAIAAAAIQDrgZft3wAAAAcBAAAPAAAAZHJzL2Rv&#10;d25yZXYueG1sTI/BTsMwEETvSPyDtUjcqGMCtA3ZVFUFnCokWiTEzY23SdTYjmI3Sf+e5QTHnRnN&#10;vM1Xk23FQH1ovENQswQEudKbxlUIn/vXuwWIELUzuvWOEC4UYFVcX+U6M350HzTsYiW4xIVMI9Qx&#10;dpmUoazJ6jDzHTn2jr63OvLZV9L0euRy28r7JHmSVjeOF2rd0aam8rQ7W4S3UY/rVL0M29Nxc/ne&#10;P75/bRUh3t5M62cQkab4F4ZffEaHgpkO/uxMEC0CPxIR5qkCwe5y8cDCASGdLxXIIpf/+YsfAAAA&#10;//8DAFBLAQItABQABgAIAAAAIQC2gziS/gAAAOEBAAATAAAAAAAAAAAAAAAAAAAAAABbQ29udGVu&#10;dF9UeXBlc10ueG1sUEsBAi0AFAAGAAgAAAAhADj9If/WAAAAlAEAAAsAAAAAAAAAAAAAAAAALwEA&#10;AF9yZWxzLy5yZWxzUEsBAi0AFAAGAAgAAAAhAETPoJDbBAAAzBcAAA4AAAAAAAAAAAAAAAAALgIA&#10;AGRycy9lMm9Eb2MueG1sUEsBAi0AFAAGAAgAAAAhAOuBl+3fAAAABwEAAA8AAAAAAAAAAAAAAAAA&#10;NQcAAGRycy9kb3ducmV2LnhtbFBLBQYAAAAABAAEAPMAAABBCAAAAAA=&#10;">
                <v:shape id="Down Arrow 9" o:spid="_x0000_s1050" type="#_x0000_t67" style="position:absolute;left:22022;top:8522;width:6469;height:60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4CdyAAAAOMAAAAPAAAAZHJzL2Rvd25yZXYueG1sRE9fa8Iw&#10;EH8f+B3CCXsZM+2cUzqjiEzwSbTq+9ncmmBzKU2m3bdfBoM93u//zZe9a8SNumA9K8hHGQjiymvL&#10;tYLTcfM8AxEissbGMyn4pgDLxeBhjoX2dz7QrYy1SCEcClRgYmwLKUNlyGEY+ZY4cZ++cxjT2dVS&#10;d3hP4a6RL1n2Jh1aTg0GW1obqq7ll1MwNasnuys320t+3bUf58s6HPZWqcdhv3oHEamP/+I/91an&#10;+dnsNR+PJ/kUfn9KAMjFDwAAAP//AwBQSwECLQAUAAYACAAAACEA2+H2y+4AAACFAQAAEwAAAAAA&#10;AAAAAAAAAAAAAAAAW0NvbnRlbnRfVHlwZXNdLnhtbFBLAQItABQABgAIAAAAIQBa9CxbvwAAABUB&#10;AAALAAAAAAAAAAAAAAAAAB8BAABfcmVscy8ucmVsc1BLAQItABQABgAIAAAAIQC864CdyAAAAOMA&#10;AAAPAAAAAAAAAAAAAAAAAAcCAABkcnMvZG93bnJldi54bWxQSwUGAAAAAAMAAwC3AAAA/AIAAAAA&#10;" adj="10800" fillcolor="#8ebbf0 [1300]" stroked="f" strokeweight="1pt"/>
                <v:shape id="Down Arrow 10" o:spid="_x0000_s1051" type="#_x0000_t67" style="position:absolute;left:52637;top:8523;width:6469;height:60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jV1xwAAAOIAAAAPAAAAZHJzL2Rvd25yZXYueG1sRE/Pa8Iw&#10;FL4P/B/CE3YZmnbMKp1RRBQ8yezm/dm8NcHmpTRRu/9+OQx2/Ph+L9eDa8Wd+mA9K8inGQji2mvL&#10;jYKvz/1kASJEZI2tZ1LwQwHWq9HTEkvtH3yiexUbkUI4lKjAxNiVUobakMMw9R1x4r597zAm2DdS&#10;9/hI4a6Vr1lWSIeWU4PBjraG6mt1cwrmZvNij9X+cMmvx253vmzD6cMq9TweNu8gIg3xX/znPmgF&#10;RZ4XxextljanS+kOyNUvAAAA//8DAFBLAQItABQABgAIAAAAIQDb4fbL7gAAAIUBAAATAAAAAAAA&#10;AAAAAAAAAAAAAABbQ29udGVudF9UeXBlc10ueG1sUEsBAi0AFAAGAAgAAAAhAFr0LFu/AAAAFQEA&#10;AAsAAAAAAAAAAAAAAAAAHwEAAF9yZWxzLy5yZWxzUEsBAi0AFAAGAAgAAAAhAGdmNXXHAAAA4gAA&#10;AA8AAAAAAAAAAAAAAAAABwIAAGRycy9kb3ducmV2LnhtbFBLBQYAAAAAAwADALcAAAD7AgAAAAA=&#10;" adj="10800" fillcolor="#8ebbf0 [1300]" stroked="f" strokeweight="1pt"/>
                <v:rect id="Rectangle 918612758" o:spid="_x0000_s1052" style="position:absolute;left:332;top:18761;width:81044;height:4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ySqxwAAAOIAAAAPAAAAZHJzL2Rvd25yZXYueG1sRE/Pa8Iw&#10;FL4L+x/CG3jTtMLUdUaRsaGIHux26PHRvDVlzUtJUu3+++Uw2PHj+73ZjbYTN/Khdawgn2cgiGun&#10;W24UfH68z9YgQkTW2DkmBT8UYLd9mGyw0O7OV7qVsREphEOBCkyMfSFlqA1ZDHPXEyfuy3mLMUHf&#10;SO3xnsJtJxdZtpQWW04NBnt6NVR/l4NVsD9VJxreLpXH49AcZH0uTRWUmj6O+xcQkcb4L/5zH7WC&#10;53y9zBerp7Q5XUp3QG5/AQAA//8DAFBLAQItABQABgAIAAAAIQDb4fbL7gAAAIUBAAATAAAAAAAA&#10;AAAAAAAAAAAAAABbQ29udGVudF9UeXBlc10ueG1sUEsBAi0AFAAGAAgAAAAhAFr0LFu/AAAAFQEA&#10;AAsAAAAAAAAAAAAAAAAAHwEAAF9yZWxzLy5yZWxzUEsBAi0AFAAGAAgAAAAhAGlXJKrHAAAA4gAA&#10;AA8AAAAAAAAAAAAAAAAABwIAAGRycy9kb3ducmV2LnhtbFBLBQYAAAAAAwADALcAAAD7AgAAAAA=&#10;" fillcolor="#0b2c54 [1615]" strokecolor="#3a3737" strokeweight=".5pt">
                  <v:textbox>
                    <w:txbxContent>
                      <w:p w14:paraId="6956500A" w14:textId="77777777" w:rsidR="002A299F" w:rsidRPr="005115A5" w:rsidRDefault="002A299F" w:rsidP="002A299F">
                        <w:pPr>
                          <w:spacing w:after="160" w:line="256" w:lineRule="auto"/>
                          <w:jc w:val="center"/>
                          <w:rPr>
                            <w:sz w:val="36"/>
                            <w:szCs w:val="36"/>
                          </w:rPr>
                        </w:pPr>
                        <w:r w:rsidRPr="005115A5">
                          <w:rPr>
                            <w:rFonts w:eastAsia="Calibri"/>
                            <w:color w:val="FFFFFF" w:themeColor="light1"/>
                            <w:kern w:val="24"/>
                            <w:sz w:val="36"/>
                            <w:szCs w:val="36"/>
                          </w:rPr>
                          <w:t xml:space="preserve">Total </w:t>
                        </w:r>
                        <w:r>
                          <w:rPr>
                            <w:rFonts w:eastAsia="Calibri"/>
                            <w:color w:val="FFFFFF" w:themeColor="light1"/>
                            <w:kern w:val="24"/>
                            <w:sz w:val="36"/>
                            <w:szCs w:val="36"/>
                          </w:rPr>
                          <w:t>contribution</w:t>
                        </w:r>
                        <w:r w:rsidRPr="005115A5">
                          <w:rPr>
                            <w:rFonts w:eastAsia="Calibri"/>
                            <w:color w:val="FFFFFF" w:themeColor="light1"/>
                            <w:kern w:val="24"/>
                            <w:sz w:val="36"/>
                            <w:szCs w:val="36"/>
                          </w:rPr>
                          <w:t xml:space="preserve"> = </w:t>
                        </w:r>
                        <w:r w:rsidRPr="005115A5">
                          <w:rPr>
                            <w:rFonts w:ascii="Cambria Math" w:eastAsia="Calibri" w:hAnsi="Cambria Math" w:cs="Cambria Math"/>
                            <w:color w:val="FFFFFF" w:themeColor="light1"/>
                            <w:kern w:val="24"/>
                            <w:sz w:val="36"/>
                            <w:szCs w:val="36"/>
                          </w:rPr>
                          <w:t>❶</w:t>
                        </w:r>
                        <w:r w:rsidRPr="005115A5">
                          <w:rPr>
                            <w:rFonts w:eastAsia="Calibri"/>
                            <w:color w:val="FFFFFF" w:themeColor="light1"/>
                            <w:kern w:val="24"/>
                            <w:sz w:val="36"/>
                            <w:szCs w:val="36"/>
                          </w:rPr>
                          <w:t>+</w:t>
                        </w:r>
                        <w:r w:rsidRPr="005115A5">
                          <w:rPr>
                            <w:rFonts w:ascii="Cambria Math" w:eastAsia="Calibri" w:hAnsi="Cambria Math" w:cs="Cambria Math"/>
                            <w:color w:val="FFFFFF" w:themeColor="light1"/>
                            <w:kern w:val="24"/>
                            <w:sz w:val="36"/>
                            <w:szCs w:val="36"/>
                          </w:rPr>
                          <w:t>❷</w:t>
                        </w:r>
                        <w:r w:rsidRPr="005115A5">
                          <w:rPr>
                            <w:rFonts w:eastAsia="Calibri"/>
                            <w:color w:val="FFFFFF" w:themeColor="light1"/>
                            <w:kern w:val="24"/>
                            <w:sz w:val="36"/>
                            <w:szCs w:val="36"/>
                          </w:rPr>
                          <w:t>+</w:t>
                        </w:r>
                        <w:r w:rsidRPr="005115A5">
                          <w:rPr>
                            <w:rFonts w:ascii="Cambria Math" w:eastAsia="Calibri" w:hAnsi="Cambria Math" w:cs="Cambria Math"/>
                            <w:color w:val="FFFFFF" w:themeColor="light1"/>
                            <w:kern w:val="24"/>
                            <w:sz w:val="36"/>
                            <w:szCs w:val="36"/>
                          </w:rPr>
                          <w:t>❸</w:t>
                        </w:r>
                        <w:r w:rsidRPr="005115A5">
                          <w:rPr>
                            <w:rFonts w:eastAsia="Calibri"/>
                            <w:color w:val="FFFFFF" w:themeColor="light1"/>
                            <w:kern w:val="24"/>
                            <w:sz w:val="36"/>
                            <w:szCs w:val="36"/>
                          </w:rPr>
                          <w:t xml:space="preserve"> = </w:t>
                        </w:r>
                        <w:r>
                          <w:rPr>
                            <w:rFonts w:ascii="Modern Era" w:eastAsia="Calibri" w:hAnsi="Modern Era" w:cs="Modern Era"/>
                            <w:color w:val="FFFFFF" w:themeColor="light1"/>
                            <w:kern w:val="24"/>
                            <w:sz w:val="36"/>
                            <w:szCs w:val="36"/>
                          </w:rPr>
                          <w:t>230,600 FTE workers</w:t>
                        </w:r>
                      </w:p>
                    </w:txbxContent>
                  </v:textbox>
                </v:rect>
                <v:roundrect id="Rounded Rectangle 12" o:spid="_x0000_s1053" style="position:absolute;left:16;top:5484;width:19764;height:121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K5wyQAAAOIAAAAPAAAAZHJzL2Rvd25yZXYueG1sRI/dasJA&#10;FITvhb7Dcgq9qxsbTSTNKkUU6o2laR/gNHvy02bPhuyq8e1doeDlMDPfMPl6NJ040eBaywpm0wgE&#10;cWl1y7WC76/d8xKE88gaO8uk4EIO1quHSY6Ztmf+pFPhaxEg7DJU0HjfZ1K6siGDbmp74uBVdjDo&#10;gxxqqQc8B7jp5EsUJdJgy2GhwZ42DZV/xdEosIc9ztglVbk09LP92MX4e4yVenoc315BeBr9Pfzf&#10;ftcK4miRLtJknsLtUrgDcnUFAAD//wMAUEsBAi0AFAAGAAgAAAAhANvh9svuAAAAhQEAABMAAAAA&#10;AAAAAAAAAAAAAAAAAFtDb250ZW50X1R5cGVzXS54bWxQSwECLQAUAAYACAAAACEAWvQsW78AAAAV&#10;AQAACwAAAAAAAAAAAAAAAAAfAQAAX3JlbHMvLnJlbHNQSwECLQAUAAYACAAAACEABHyucMkAAADi&#10;AAAADwAAAAAAAAAAAAAAAAAHAgAAZHJzL2Rvd25yZXYueG1sUEsFBgAAAAADAAMAtwAAAP0CAAAA&#10;AA==&#10;" fillcolor="#165baa [3215]" strokecolor="#024a53" strokeweight=".5pt">
                  <v:stroke joinstyle="miter"/>
                  <v:textbox>
                    <w:txbxContent>
                      <w:p w14:paraId="2F49868C" w14:textId="77777777" w:rsidR="002A299F" w:rsidRPr="005115A5" w:rsidRDefault="002A299F" w:rsidP="002A299F">
                        <w:pPr>
                          <w:jc w:val="center"/>
                          <w:rPr>
                            <w:sz w:val="22"/>
                            <w:szCs w:val="22"/>
                          </w:rPr>
                        </w:pPr>
                        <w:r w:rsidRPr="00FA1EFB">
                          <w:rPr>
                            <w:rFonts w:ascii="Cambria Math" w:hAnsi="Cambria Math" w:cs="Cambria Math"/>
                            <w:color w:val="FFFFFF" w:themeColor="background1"/>
                            <w:kern w:val="24"/>
                            <w:sz w:val="22"/>
                            <w:szCs w:val="22"/>
                          </w:rPr>
                          <w:t>❶</w:t>
                        </w:r>
                        <w:r w:rsidRPr="005115A5">
                          <w:rPr>
                            <w:rFonts w:cstheme="minorBidi"/>
                            <w:b/>
                            <w:bCs/>
                            <w:color w:val="FFFFFF" w:themeColor="background1"/>
                            <w:kern w:val="24"/>
                            <w:sz w:val="22"/>
                            <w:szCs w:val="22"/>
                          </w:rPr>
                          <w:t xml:space="preserve"> DIRECT </w:t>
                        </w:r>
                      </w:p>
                      <w:p w14:paraId="32BB6674" w14:textId="77777777" w:rsidR="002A299F" w:rsidRPr="00EF2967" w:rsidRDefault="002A299F" w:rsidP="002A299F">
                        <w:pPr>
                          <w:jc w:val="center"/>
                          <w:rPr>
                            <w:sz w:val="16"/>
                            <w:szCs w:val="14"/>
                          </w:rPr>
                        </w:pPr>
                        <w:r>
                          <w:rPr>
                            <w:rFonts w:cstheme="minorBidi"/>
                            <w:color w:val="FFFFFF" w:themeColor="background1"/>
                            <w:kern w:val="24"/>
                            <w:sz w:val="36"/>
                            <w:szCs w:val="36"/>
                          </w:rPr>
                          <w:t>150,400</w:t>
                        </w:r>
                      </w:p>
                    </w:txbxContent>
                  </v:textbox>
                </v:roundrect>
                <v:roundrect id="Rounded Rectangle 13" o:spid="_x0000_s1054" style="position:absolute;left:30700;top:5484;width:19764;height:121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mPQygAAAOIAAAAPAAAAZHJzL2Rvd25yZXYueG1sRI9BawIx&#10;FITvhf6H8Aq91axKja5GKYLipWBVBG+PzXN37eZl3aS69tebQsHjMDPfMJNZaytxocaXjjV0OwkI&#10;4syZknMNu+3ibQjCB2SDlWPScCMPs+nz0wRT4678RZdNyEWEsE9RQxFCnUrps4Is+o6riaN3dI3F&#10;EGWTS9PgNcJtJXtJMpAWS44LBdY0Lyj73vxYDZ/r/fL3sEZUKqfF4VSeb0k4a/360n6MQQRqwyP8&#10;314ZDUOleup91O3D36V4B+T0DgAA//8DAFBLAQItABQABgAIAAAAIQDb4fbL7gAAAIUBAAATAAAA&#10;AAAAAAAAAAAAAAAAAABbQ29udGVudF9UeXBlc10ueG1sUEsBAi0AFAAGAAgAAAAhAFr0LFu/AAAA&#10;FQEAAAsAAAAAAAAAAAAAAAAAHwEAAF9yZWxzLy5yZWxzUEsBAi0AFAAGAAgAAAAhAGayY9DKAAAA&#10;4gAAAA8AAAAAAAAAAAAAAAAABwIAAGRycy9kb3ducmV2LnhtbFBLBQYAAAAAAwADALcAAAD+AgAA&#10;AAA=&#10;" fillcolor="#559ae9 [1940]" strokecolor="#008b9b" strokeweight=".5pt">
                  <v:stroke joinstyle="miter"/>
                  <v:textbox>
                    <w:txbxContent>
                      <w:p w14:paraId="376761A3" w14:textId="17238AE9" w:rsidR="002A299F" w:rsidRDefault="002A299F" w:rsidP="002A299F">
                        <w:pPr>
                          <w:jc w:val="center"/>
                          <w:rPr>
                            <w:rFonts w:cstheme="minorBidi"/>
                            <w:color w:val="FFFFFF" w:themeColor="background1"/>
                            <w:kern w:val="24"/>
                            <w:sz w:val="36"/>
                            <w:szCs w:val="36"/>
                          </w:rPr>
                        </w:pPr>
                        <w:r w:rsidRPr="005115A5">
                          <w:rPr>
                            <w:rFonts w:cstheme="minorBidi"/>
                            <w:b/>
                            <w:bCs/>
                            <w:color w:val="FFFFFF" w:themeColor="background1"/>
                            <w:kern w:val="24"/>
                          </w:rPr>
                          <w:t xml:space="preserve"> </w:t>
                        </w:r>
                        <w:r w:rsidRPr="00FA1EFB">
                          <w:rPr>
                            <w:rFonts w:ascii="Cambria Math" w:hAnsi="Cambria Math" w:cs="Cambria Math"/>
                            <w:color w:val="FFFFFF" w:themeColor="background1"/>
                            <w:kern w:val="24"/>
                            <w:sz w:val="22"/>
                            <w:szCs w:val="22"/>
                          </w:rPr>
                          <w:t>❷</w:t>
                        </w:r>
                        <w:r w:rsidRPr="005115A5">
                          <w:rPr>
                            <w:rFonts w:cstheme="minorBidi"/>
                            <w:b/>
                            <w:bCs/>
                            <w:color w:val="FFFFFF" w:themeColor="background1"/>
                            <w:kern w:val="24"/>
                            <w:sz w:val="22"/>
                            <w:szCs w:val="22"/>
                          </w:rPr>
                          <w:t xml:space="preserve"> INDIRECT</w:t>
                        </w:r>
                        <w:r w:rsidRPr="005115A5">
                          <w:rPr>
                            <w:rFonts w:cstheme="minorBidi"/>
                            <w:b/>
                            <w:bCs/>
                            <w:color w:val="FFFFFF" w:themeColor="background1"/>
                            <w:kern w:val="24"/>
                            <w:sz w:val="24"/>
                            <w:szCs w:val="24"/>
                          </w:rPr>
                          <w:t xml:space="preserve"> </w:t>
                        </w:r>
                        <w:r w:rsidRPr="005115A5">
                          <w:rPr>
                            <w:rFonts w:cstheme="minorBidi"/>
                            <w:b/>
                            <w:bCs/>
                            <w:color w:val="FFFFFF" w:themeColor="background1"/>
                            <w:kern w:val="24"/>
                          </w:rPr>
                          <w:br/>
                        </w:r>
                        <w:r>
                          <w:rPr>
                            <w:rFonts w:cstheme="minorBidi"/>
                            <w:color w:val="FFFFFF" w:themeColor="background1"/>
                            <w:kern w:val="24"/>
                            <w:sz w:val="36"/>
                            <w:szCs w:val="36"/>
                          </w:rPr>
                          <w:t>34,800</w:t>
                        </w:r>
                      </w:p>
                      <w:p w14:paraId="1C1C56F3" w14:textId="645CE0EC" w:rsidR="00D260C2" w:rsidRPr="006E309D" w:rsidRDefault="00D260C2" w:rsidP="002A299F">
                        <w:pPr>
                          <w:jc w:val="center"/>
                          <w:rPr>
                            <w:sz w:val="28"/>
                            <w:szCs w:val="28"/>
                          </w:rPr>
                        </w:pPr>
                        <w:r w:rsidRPr="006E309D">
                          <w:rPr>
                            <w:rFonts w:cstheme="minorBidi"/>
                            <w:color w:val="FFFFFF" w:themeColor="background1"/>
                            <w:kern w:val="24"/>
                            <w:sz w:val="28"/>
                            <w:szCs w:val="28"/>
                          </w:rPr>
                          <w:t>(0.23X)</w:t>
                        </w:r>
                      </w:p>
                    </w:txbxContent>
                  </v:textbox>
                </v:roundrect>
                <v:roundrect id="Rounded Rectangle 14" o:spid="_x0000_s1055" style="position:absolute;left:61280;top:5484;width:19764;height:121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ZMXzAAAAOIAAAAPAAAAZHJzL2Rvd25yZXYueG1sRI9RSwJB&#10;FIXfg/7DcANfQmfdRG1zFCuNIFSyer/sXHeXZu4MO6Ou/74Jgh4P55zvcGaLzhpxojY0jhUMBxkI&#10;4tLphisFnx/r/hREiMgajWNScKEAi/n11QwL7c78Tqd9rESCcChQQR2jL6QMZU0Ww8B54uQdXGsx&#10;JtlWUrd4TnBrZJ5lY2mx4bRQo6enmsrv/dEqyLec3a9e/Oawe16a46P/Mm+3RqneTbd8ABGpi//h&#10;v/arVjAejfLh9G4ygd9L6Q7I+Q8AAAD//wMAUEsBAi0AFAAGAAgAAAAhANvh9svuAAAAhQEAABMA&#10;AAAAAAAAAAAAAAAAAAAAAFtDb250ZW50X1R5cGVzXS54bWxQSwECLQAUAAYACAAAACEAWvQsW78A&#10;AAAVAQAACwAAAAAAAAAAAAAAAAAfAQAAX3JlbHMvLnJlbHNQSwECLQAUAAYACAAAACEAwkWTF8wA&#10;AADiAAAADwAAAAAAAAAAAAAAAAAHAgAAZHJzL2Rvd25yZXYueG1sUEsFBgAAAAADAAMAtwAAAAAD&#10;AAAAAA==&#10;" fillcolor="#10437f [2415]" stroked="f" strokeweight=".5pt">
                  <v:stroke joinstyle="miter"/>
                  <v:textbox>
                    <w:txbxContent>
                      <w:p w14:paraId="3202DDB9" w14:textId="02E250B8" w:rsidR="002A299F" w:rsidRDefault="002A299F" w:rsidP="002A299F">
                        <w:pPr>
                          <w:jc w:val="center"/>
                          <w:rPr>
                            <w:rFonts w:cstheme="minorBidi"/>
                            <w:color w:val="FFFFFF" w:themeColor="background1"/>
                            <w:kern w:val="24"/>
                            <w:sz w:val="36"/>
                            <w:szCs w:val="36"/>
                          </w:rPr>
                        </w:pPr>
                        <w:r w:rsidRPr="00FA1EFB">
                          <w:rPr>
                            <w:rFonts w:ascii="Cambria Math" w:hAnsi="Cambria Math" w:cs="Cambria Math"/>
                            <w:color w:val="FFFFFF" w:themeColor="background1"/>
                            <w:kern w:val="24"/>
                            <w:sz w:val="22"/>
                            <w:szCs w:val="22"/>
                          </w:rPr>
                          <w:t>❸</w:t>
                        </w:r>
                        <w:r w:rsidRPr="005115A5">
                          <w:rPr>
                            <w:rFonts w:cstheme="minorBidi"/>
                            <w:b/>
                            <w:bCs/>
                            <w:color w:val="FFFFFF" w:themeColor="background1"/>
                            <w:kern w:val="24"/>
                            <w:sz w:val="22"/>
                            <w:szCs w:val="22"/>
                          </w:rPr>
                          <w:t xml:space="preserve"> INDUCED</w:t>
                        </w:r>
                        <w:r w:rsidRPr="005115A5">
                          <w:rPr>
                            <w:rFonts w:cstheme="minorBidi"/>
                            <w:b/>
                            <w:bCs/>
                            <w:color w:val="FFFFFF" w:themeColor="background1"/>
                            <w:kern w:val="24"/>
                            <w:sz w:val="24"/>
                            <w:szCs w:val="24"/>
                          </w:rPr>
                          <w:br/>
                        </w:r>
                        <w:r>
                          <w:rPr>
                            <w:rFonts w:cstheme="minorBidi"/>
                            <w:color w:val="FFFFFF" w:themeColor="background1"/>
                            <w:kern w:val="24"/>
                            <w:sz w:val="36"/>
                            <w:szCs w:val="36"/>
                          </w:rPr>
                          <w:t>45,400</w:t>
                        </w:r>
                      </w:p>
                      <w:p w14:paraId="3CFCB508" w14:textId="241CADCD" w:rsidR="006E309D" w:rsidRPr="006E309D" w:rsidRDefault="006E309D" w:rsidP="002A299F">
                        <w:pPr>
                          <w:jc w:val="center"/>
                          <w:rPr>
                            <w:sz w:val="28"/>
                            <w:szCs w:val="28"/>
                          </w:rPr>
                        </w:pPr>
                        <w:r w:rsidRPr="006E309D">
                          <w:rPr>
                            <w:rFonts w:cstheme="minorBidi"/>
                            <w:color w:val="FFFFFF" w:themeColor="background1"/>
                            <w:kern w:val="24"/>
                            <w:sz w:val="28"/>
                            <w:szCs w:val="28"/>
                          </w:rPr>
                          <w:t>(0.30X)</w:t>
                        </w:r>
                      </w:p>
                    </w:txbxContent>
                  </v:textbox>
                </v:roundrect>
                <v:rect id="Rectangle 1807383490" o:spid="_x0000_s1056" style="position:absolute;width:81044;height:4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ShnygAAAOMAAAAPAAAAZHJzL2Rvd25yZXYueG1sRI9BT8Mw&#10;DIXvSPyHyEjcWApDUMqyaUIgpmkcKBx6tBrTVDROlaRb+ff4gMTR9vN771ttZj+oI8XUBzZwvShA&#10;EbfB9twZ+Px4uSpBpYxscQhMBn4owWZ9frbCyoYTv9Oxzp0SE04VGnA5j5XWqXXkMS3CSCy3rxA9&#10;Zhljp23Ek5j7Qd8UxZ322LMkOBzpyVH7XU/ewHbf7Gl6fmsi7qbuVbeH2jXJmMuLefsIKtOc/8V/&#10;3zsr9cviflkubx+EQphkAXr9CwAA//8DAFBLAQItABQABgAIAAAAIQDb4fbL7gAAAIUBAAATAAAA&#10;AAAAAAAAAAAAAAAAAABbQ29udGVudF9UeXBlc10ueG1sUEsBAi0AFAAGAAgAAAAhAFr0LFu/AAAA&#10;FQEAAAsAAAAAAAAAAAAAAAAAHwEAAF9yZWxzLy5yZWxzUEsBAi0AFAAGAAgAAAAhAIVdKGfKAAAA&#10;4wAAAA8AAAAAAAAAAAAAAAAABwIAAGRycy9kb3ducmV2LnhtbFBLBQYAAAAAAwADALcAAAD+AgAA&#10;AAA=&#10;" fillcolor="#0b2c54 [1615]" strokecolor="#3a3737" strokeweight=".5pt">
                  <v:textbox>
                    <w:txbxContent>
                      <w:p w14:paraId="43C4417F" w14:textId="77777777" w:rsidR="002A299F" w:rsidRPr="005115A5" w:rsidRDefault="002A299F" w:rsidP="002A299F">
                        <w:pPr>
                          <w:spacing w:after="160" w:line="256" w:lineRule="auto"/>
                          <w:jc w:val="center"/>
                          <w:rPr>
                            <w:sz w:val="36"/>
                            <w:szCs w:val="36"/>
                          </w:rPr>
                        </w:pPr>
                        <w:r>
                          <w:rPr>
                            <w:rFonts w:eastAsia="Calibri"/>
                            <w:color w:val="FFFFFF" w:themeColor="light1"/>
                            <w:kern w:val="24"/>
                            <w:sz w:val="36"/>
                            <w:szCs w:val="36"/>
                          </w:rPr>
                          <w:t>Employment (FTE)</w:t>
                        </w:r>
                      </w:p>
                    </w:txbxContent>
                  </v:textbox>
                </v:rect>
                <w10:wrap type="topAndBottom" anchorx="margin"/>
              </v:group>
            </w:pict>
          </mc:Fallback>
        </mc:AlternateContent>
      </w:r>
      <w:r w:rsidR="001C2888">
        <w:br/>
      </w:r>
      <w:r w:rsidR="001C2888">
        <w:rPr>
          <w:b/>
          <w:bCs/>
        </w:rPr>
        <w:t>Figure 7: Aggregate employment contribution</w:t>
      </w:r>
    </w:p>
    <w:p w14:paraId="044CA2B0" w14:textId="2F2137EA" w:rsidR="00DB5BB9" w:rsidRDefault="00DB5BB9" w:rsidP="00DC2927"/>
    <w:p w14:paraId="3F8C6C2A" w14:textId="7D3A0878" w:rsidR="009D4557" w:rsidRPr="00F3081F" w:rsidRDefault="009D4557" w:rsidP="00A35AA1">
      <w:pPr>
        <w:pStyle w:val="Heading1"/>
        <w:rPr>
          <w:b/>
          <w:bCs/>
          <w:color w:val="165BAA" w:themeColor="accent1"/>
        </w:rPr>
      </w:pPr>
      <w:r w:rsidRPr="00F3081F">
        <w:t xml:space="preserve">Key </w:t>
      </w:r>
      <w:commentRangeStart w:id="2"/>
      <w:commentRangeStart w:id="3"/>
      <w:r w:rsidRPr="00F3081F">
        <w:t>Regiona</w:t>
      </w:r>
      <w:commentRangeEnd w:id="2"/>
      <w:r w:rsidR="002571EA">
        <w:rPr>
          <w:rStyle w:val="CommentReference"/>
          <w:sz w:val="32"/>
          <w:szCs w:val="32"/>
        </w:rPr>
        <w:commentReference w:id="2"/>
      </w:r>
      <w:commentRangeEnd w:id="3"/>
      <w:r w:rsidR="006E2483">
        <w:rPr>
          <w:rStyle w:val="CommentReference"/>
          <w:sz w:val="32"/>
          <w:szCs w:val="32"/>
        </w:rPr>
        <w:commentReference w:id="3"/>
      </w:r>
      <w:r w:rsidR="00427717">
        <w:t>l Findings</w:t>
      </w:r>
    </w:p>
    <w:p w14:paraId="74ADB3E9" w14:textId="776E15CD" w:rsidR="00FB1A76" w:rsidRDefault="00FB1A76">
      <w:pPr>
        <w:jc w:val="both"/>
        <w:rPr>
          <w:kern w:val="2"/>
          <w14:ligatures w14:val="standardContextual"/>
        </w:rPr>
      </w:pPr>
      <w:r>
        <w:t xml:space="preserve">The </w:t>
      </w:r>
      <w:r w:rsidR="00C3126A">
        <w:t>Canal &amp; River Trust</w:t>
      </w:r>
      <w:r>
        <w:t>’s waterway network is not evenly distributed, with the West Midlands and North West accounting for the largest shares of total mileage, reflecting their historic role at the centre of the canal system. Other regions, including London &amp; South East and Wales &amp; South West, have a smaller share of overall canal length. This variation in physical scale provides important context for interpreting the figures that follow, as regions with more extensive networks would be expected to support higher levels of activity simply because of their size, all else being equal</w:t>
      </w:r>
      <w:r w:rsidR="00C5608F">
        <w:t xml:space="preserve">. Please </w:t>
      </w:r>
      <w:r>
        <w:t>see Figure 8.</w:t>
      </w:r>
    </w:p>
    <w:p w14:paraId="61F1D220" w14:textId="48B17AAB" w:rsidR="001C2888" w:rsidRDefault="001C2888">
      <w:pPr>
        <w:jc w:val="both"/>
        <w:rPr>
          <w:kern w:val="2"/>
          <w14:ligatures w14:val="standardContextual"/>
        </w:rPr>
      </w:pPr>
      <w:r>
        <w:t xml:space="preserve">While there is a broad relationship between network length and economic contribution, Figure 9 shows clear differences in the value generated by each region relative to canal mileage. London </w:t>
      </w:r>
      <w:r w:rsidR="005A1ED8">
        <w:t>&amp;</w:t>
      </w:r>
      <w:r>
        <w:t xml:space="preserve"> South East stand out as supporting a comparatively high share of direct GVA despite accounting for a relatively limited share of the network. This reflects more intensive use of waterways, higher visitor spending and the concentration of economic activity in densely populated urban areas. In contrast, regions such as the West Midlands and North West generate direct impacts that are more closely aligned with their share of canal length, consistent with waterways supporting everyday recreation and tourism across a wider geography.</w:t>
      </w:r>
    </w:p>
    <w:p w14:paraId="20FB276D" w14:textId="215E7694" w:rsidR="00FB1A76" w:rsidRDefault="00FB1A76">
      <w:pPr>
        <w:jc w:val="both"/>
        <w:rPr>
          <w:kern w:val="2"/>
          <w14:ligatures w14:val="standardContextual"/>
        </w:rPr>
      </w:pPr>
      <w:r>
        <w:t>As with GVA, employment impacts are distributed unevenly across regions, reflecting differences in visitor intensity and the labour-intensive nature of local service economies</w:t>
      </w:r>
      <w:r w:rsidR="00C5608F">
        <w:t xml:space="preserve">. Please </w:t>
      </w:r>
      <w:r>
        <w:t>see Figure 10. Regions with strong urban visitor economies, including London &amp; South East, support a higher share of employment relative to their network size.</w:t>
      </w:r>
    </w:p>
    <w:p w14:paraId="0F3C1FA3" w14:textId="1B161DD2" w:rsidR="001B7714" w:rsidRDefault="00326550" w:rsidP="001B7714">
      <w:pPr>
        <w:rPr>
          <w:b/>
          <w:bCs/>
        </w:rPr>
      </w:pPr>
      <w:r w:rsidRPr="0096605A">
        <w:rPr>
          <w:b/>
          <w:bCs/>
        </w:rPr>
        <w:lastRenderedPageBreak/>
        <w:t xml:space="preserve">Figure </w:t>
      </w:r>
      <w:r w:rsidR="003613E3">
        <w:rPr>
          <w:b/>
          <w:bCs/>
        </w:rPr>
        <w:t>8</w:t>
      </w:r>
      <w:r w:rsidRPr="0096605A">
        <w:rPr>
          <w:b/>
          <w:bCs/>
        </w:rPr>
        <w:t xml:space="preserve">: </w:t>
      </w:r>
      <w:r w:rsidR="00EB4333" w:rsidRPr="00EB4333">
        <w:rPr>
          <w:b/>
          <w:bCs/>
        </w:rPr>
        <w:t xml:space="preserve">Regional breakdown of </w:t>
      </w:r>
      <w:r w:rsidR="00C3126A">
        <w:rPr>
          <w:b/>
          <w:bCs/>
        </w:rPr>
        <w:t>Canal &amp; River Trust</w:t>
      </w:r>
      <w:r w:rsidR="00EB4333" w:rsidRPr="00EB4333">
        <w:rPr>
          <w:b/>
          <w:bCs/>
        </w:rPr>
        <w:t>-managed waterway mileage, % of total length of managed waterways</w:t>
      </w:r>
    </w:p>
    <w:p w14:paraId="631C3460" w14:textId="7261351E" w:rsidR="00EB4333" w:rsidRDefault="00EB4333" w:rsidP="001B7714">
      <w:pPr>
        <w:rPr>
          <w:color w:val="EE0000"/>
        </w:rPr>
      </w:pPr>
      <w:r>
        <w:rPr>
          <w:noProof/>
        </w:rPr>
        <w:drawing>
          <wp:inline distT="0" distB="0" distL="0" distR="0" wp14:anchorId="163FB58A" wp14:editId="455347F6">
            <wp:extent cx="6119495" cy="2552368"/>
            <wp:effectExtent l="0" t="0" r="0" b="635"/>
            <wp:docPr id="1325766416" name="Chart 1">
              <a:extLst xmlns:a="http://schemas.openxmlformats.org/drawingml/2006/main">
                <a:ext uri="{FF2B5EF4-FFF2-40B4-BE49-F238E27FC236}">
                  <a16:creationId xmlns:a16="http://schemas.microsoft.com/office/drawing/2014/main" id="{915B9322-8D9E-0C45-836A-0FBD6A9472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38DE225" w14:textId="77777777" w:rsidR="003E75EF" w:rsidRDefault="003E75EF" w:rsidP="00433651">
      <w:pPr>
        <w:rPr>
          <w:b/>
          <w:bCs/>
        </w:rPr>
      </w:pPr>
    </w:p>
    <w:p w14:paraId="7FEA6141" w14:textId="0BF3D061" w:rsidR="00433651" w:rsidRDefault="00433651" w:rsidP="00433651">
      <w:pPr>
        <w:rPr>
          <w:b/>
          <w:bCs/>
        </w:rPr>
      </w:pPr>
      <w:r w:rsidRPr="0096605A">
        <w:rPr>
          <w:b/>
          <w:bCs/>
        </w:rPr>
        <w:t xml:space="preserve">Figure </w:t>
      </w:r>
      <w:r w:rsidR="003613E3">
        <w:rPr>
          <w:b/>
          <w:bCs/>
        </w:rPr>
        <w:t>9</w:t>
      </w:r>
      <w:r w:rsidRPr="0096605A">
        <w:rPr>
          <w:b/>
          <w:bCs/>
        </w:rPr>
        <w:t xml:space="preserve">: </w:t>
      </w:r>
      <w:r w:rsidR="00646391" w:rsidRPr="0096605A">
        <w:rPr>
          <w:b/>
          <w:bCs/>
          <w:lang w:eastAsia="zh-TW"/>
        </w:rPr>
        <w:t xml:space="preserve">Breakdown of direct GVA by </w:t>
      </w:r>
      <w:r w:rsidR="002F46E6">
        <w:rPr>
          <w:b/>
          <w:bCs/>
          <w:lang w:eastAsia="zh-TW"/>
        </w:rPr>
        <w:t>region</w:t>
      </w:r>
      <w:r w:rsidR="00646391" w:rsidRPr="0096605A">
        <w:rPr>
          <w:b/>
          <w:bCs/>
          <w:lang w:eastAsia="zh-TW"/>
        </w:rPr>
        <w:t>, 2022</w:t>
      </w:r>
    </w:p>
    <w:p w14:paraId="2A571855" w14:textId="07A53621" w:rsidR="00433651" w:rsidRDefault="00646391" w:rsidP="001B7714">
      <w:pPr>
        <w:rPr>
          <w:color w:val="EE0000"/>
        </w:rPr>
      </w:pPr>
      <w:r w:rsidRPr="00B71190">
        <w:rPr>
          <w:noProof/>
          <w:color w:val="EE0000"/>
        </w:rPr>
        <mc:AlternateContent>
          <mc:Choice Requires="wps">
            <w:drawing>
              <wp:anchor distT="45720" distB="45720" distL="114300" distR="114300" simplePos="0" relativeHeight="251657728" behindDoc="0" locked="0" layoutInCell="1" allowOverlap="1" wp14:anchorId="3D6D9F17" wp14:editId="3E7A3B3C">
                <wp:simplePos x="0" y="0"/>
                <wp:positionH relativeFrom="column">
                  <wp:posOffset>1644650</wp:posOffset>
                </wp:positionH>
                <wp:positionV relativeFrom="paragraph">
                  <wp:posOffset>1132840</wp:posOffset>
                </wp:positionV>
                <wp:extent cx="927100" cy="1404620"/>
                <wp:effectExtent l="0" t="0" r="6350" b="0"/>
                <wp:wrapNone/>
                <wp:docPr id="699432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1404620"/>
                        </a:xfrm>
                        <a:prstGeom prst="rect">
                          <a:avLst/>
                        </a:prstGeom>
                        <a:solidFill>
                          <a:srgbClr val="FFFFFF"/>
                        </a:solidFill>
                        <a:ln w="9525">
                          <a:noFill/>
                          <a:miter lim="800000"/>
                          <a:headEnd/>
                          <a:tailEnd/>
                        </a:ln>
                      </wps:spPr>
                      <wps:txbx>
                        <w:txbxContent>
                          <w:p w14:paraId="5DFE1A15" w14:textId="77777777" w:rsidR="00646391" w:rsidRPr="00DC2927" w:rsidRDefault="00646391" w:rsidP="00DC2927">
                            <w:pPr>
                              <w:jc w:val="center"/>
                              <w:rPr>
                                <w:b/>
                                <w:bCs/>
                                <w:sz w:val="28"/>
                                <w:szCs w:val="28"/>
                              </w:rPr>
                            </w:pPr>
                            <w:r w:rsidRPr="00DC2927">
                              <w:rPr>
                                <w:b/>
                                <w:bCs/>
                                <w:sz w:val="28"/>
                                <w:szCs w:val="28"/>
                              </w:rPr>
                              <w:t xml:space="preserve">Total: </w:t>
                            </w:r>
                            <w:r w:rsidRPr="00DC2927">
                              <w:rPr>
                                <w:b/>
                                <w:bCs/>
                                <w:sz w:val="28"/>
                                <w:szCs w:val="28"/>
                              </w:rPr>
                              <w:br/>
                              <w:t>£5.1bn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6D9F17" id="_x0000_s1057" type="#_x0000_t202" style="position:absolute;margin-left:129.5pt;margin-top:89.2pt;width:73pt;height:110.6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LGhEQIAAP4DAAAOAAAAZHJzL2Uyb0RvYy54bWysk9uO2yAQhu8r9R0Q943tKNmDFWe1zTZV&#10;pe1B2vYBMMYxKmboQGKnT98BZ7PR9q6qLxB44Gfmm5/V3dgbdlDoNdiKF7OcM2UlNNruKv7j+/bd&#10;DWc+CNsIA1ZV/Kg8v1u/fbMaXKnm0IFpFDISsb4cXMW7EFyZZV52qhd+Bk5ZCraAvQi0xF3WoBhI&#10;vTfZPM+vsgGwcQhSeU9/H6YgXyf9tlUyfG1brwIzFafcQhoxjXUcs/VKlDsUrtPylIb4hyx6oS1d&#10;epZ6EEGwPeq/pHotETy0YSahz6BttVSpBqqmyF9V89QJp1ItBMe7Myb//2Tll8OT+4YsjO9hpAam&#10;Irx7BPnTMwubTtidukeEoVOioYuLiCwbnC9PRyNqX/ooUg+foaEmi32AJDS22EcqVCcjdWrA8Qxd&#10;jYFJ+nk7vy5yikgKFYt8cTVPXclE+XzaoQ8fFfQsTiqO1NSkLg6PPsRsRPm8JV7mwehmq41JC9zV&#10;G4PsIMgA2/SlAl5tM5YNlMpyvkzKFuL55I1eBzKo0X3Fb/L4TZaJND7YJm0JQptpTpkYe8ITiUxs&#10;wliPTDdU3k08HHHV0BwJGMJkSHpANOkAf3M2kBkr7n/tBSrOzCdL0G+LxSK6Ny0Wy2tCxPAyUl9G&#10;hJUkVfHA2TTdhOT4xMPdU3O2OnF7yeSUM5ks4Tw9iOjiy3Xa9fJs138AAAD//wMAUEsDBBQABgAI&#10;AAAAIQAp2R0S3wAAAAsBAAAPAAAAZHJzL2Rvd25yZXYueG1sTI/NTsMwEITvSLyDtUjcqENpShPi&#10;VBUVFw5IFCQ4uvEmjvCfbDcNb89yguPOjGa/abazNWzCmEbvBNwuCmDoOq9GNwh4f3u62QBLWTol&#10;jXco4BsTbNvLi0bWyp/dK06HPDAqcamWAnTOoeY8dRqtTAsf0JHX+2hlpjMOXEV5pnJr+LIo1tzK&#10;0dEHLQM+auy+Dicr4MPqUe3jy2evzLR/7ndlmGMQ4vpq3j0AyzjnvzD84hM6tMR09CenEjMClmVF&#10;WzIZ95sVMEqsipKUo4C7qloDbxv+f0P7AwAA//8DAFBLAQItABQABgAIAAAAIQC2gziS/gAAAOEB&#10;AAATAAAAAAAAAAAAAAAAAAAAAABbQ29udGVudF9UeXBlc10ueG1sUEsBAi0AFAAGAAgAAAAhADj9&#10;If/WAAAAlAEAAAsAAAAAAAAAAAAAAAAALwEAAF9yZWxzLy5yZWxzUEsBAi0AFAAGAAgAAAAhAEyE&#10;saERAgAA/gMAAA4AAAAAAAAAAAAAAAAALgIAAGRycy9lMm9Eb2MueG1sUEsBAi0AFAAGAAgAAAAh&#10;ACnZHRLfAAAACwEAAA8AAAAAAAAAAAAAAAAAawQAAGRycy9kb3ducmV2LnhtbFBLBQYAAAAABAAE&#10;APMAAAB3BQAAAAA=&#10;" stroked="f">
                <v:textbox style="mso-fit-shape-to-text:t">
                  <w:txbxContent>
                    <w:p w14:paraId="5DFE1A15" w14:textId="77777777" w:rsidR="00646391" w:rsidRPr="00DC2927" w:rsidRDefault="00646391" w:rsidP="00DC2927">
                      <w:pPr>
                        <w:jc w:val="center"/>
                        <w:rPr>
                          <w:b/>
                          <w:bCs/>
                          <w:sz w:val="28"/>
                          <w:szCs w:val="28"/>
                        </w:rPr>
                      </w:pPr>
                      <w:r w:rsidRPr="00DC2927">
                        <w:rPr>
                          <w:b/>
                          <w:bCs/>
                          <w:sz w:val="28"/>
                          <w:szCs w:val="28"/>
                        </w:rPr>
                        <w:t xml:space="preserve">Total: </w:t>
                      </w:r>
                      <w:r w:rsidRPr="00DC2927">
                        <w:rPr>
                          <w:b/>
                          <w:bCs/>
                          <w:sz w:val="28"/>
                          <w:szCs w:val="28"/>
                        </w:rPr>
                        <w:br/>
                        <w:t>£5.1bn</w:t>
                      </w:r>
                    </w:p>
                  </w:txbxContent>
                </v:textbox>
              </v:shape>
            </w:pict>
          </mc:Fallback>
        </mc:AlternateContent>
      </w:r>
      <w:r w:rsidR="001A016D">
        <w:rPr>
          <w:noProof/>
        </w:rPr>
        <w:drawing>
          <wp:inline distT="0" distB="0" distL="0" distR="0" wp14:anchorId="7319396B" wp14:editId="5D6E5929">
            <wp:extent cx="5760000" cy="2873650"/>
            <wp:effectExtent l="0" t="0" r="0" b="3175"/>
            <wp:docPr id="910894622" name="Chart 1">
              <a:extLst xmlns:a="http://schemas.openxmlformats.org/drawingml/2006/main">
                <a:ext uri="{FF2B5EF4-FFF2-40B4-BE49-F238E27FC236}">
                  <a16:creationId xmlns:a16="http://schemas.microsoft.com/office/drawing/2014/main" id="{F1B8335C-A54F-40EF-91CD-DADFB79572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380A10D" w14:textId="77777777" w:rsidR="003E75EF" w:rsidRDefault="003E75EF" w:rsidP="00433651">
      <w:pPr>
        <w:rPr>
          <w:b/>
          <w:bCs/>
        </w:rPr>
      </w:pPr>
    </w:p>
    <w:p w14:paraId="147C6983" w14:textId="77777777" w:rsidR="003E75EF" w:rsidRDefault="003E75EF" w:rsidP="00433651">
      <w:pPr>
        <w:rPr>
          <w:b/>
          <w:bCs/>
        </w:rPr>
      </w:pPr>
    </w:p>
    <w:p w14:paraId="0EC5B6FD" w14:textId="77777777" w:rsidR="003E75EF" w:rsidRDefault="003E75EF" w:rsidP="00433651">
      <w:pPr>
        <w:rPr>
          <w:b/>
          <w:bCs/>
        </w:rPr>
      </w:pPr>
    </w:p>
    <w:p w14:paraId="50B5D215" w14:textId="4EB2DF33" w:rsidR="00433651" w:rsidRDefault="00433651" w:rsidP="00433651">
      <w:pPr>
        <w:rPr>
          <w:b/>
          <w:bCs/>
        </w:rPr>
      </w:pPr>
      <w:r w:rsidRPr="0096605A">
        <w:rPr>
          <w:b/>
          <w:bCs/>
        </w:rPr>
        <w:t xml:space="preserve">Figure </w:t>
      </w:r>
      <w:r w:rsidR="003613E3">
        <w:rPr>
          <w:b/>
          <w:bCs/>
        </w:rPr>
        <w:t>10</w:t>
      </w:r>
      <w:r w:rsidRPr="0096605A">
        <w:rPr>
          <w:b/>
          <w:bCs/>
        </w:rPr>
        <w:t>:</w:t>
      </w:r>
      <w:r w:rsidR="00147233" w:rsidRPr="00147233">
        <w:rPr>
          <w:b/>
          <w:bCs/>
        </w:rPr>
        <w:t xml:space="preserve"> Breakdown of direct employment by region, 2022</w:t>
      </w:r>
    </w:p>
    <w:p w14:paraId="6843210B" w14:textId="1A7BA629" w:rsidR="00147233" w:rsidRDefault="00C23F78" w:rsidP="00433651">
      <w:pPr>
        <w:rPr>
          <w:b/>
          <w:bCs/>
        </w:rPr>
      </w:pPr>
      <w:r w:rsidRPr="00B71190">
        <w:rPr>
          <w:noProof/>
          <w:color w:val="EE0000"/>
        </w:rPr>
        <w:lastRenderedPageBreak/>
        <mc:AlternateContent>
          <mc:Choice Requires="wps">
            <w:drawing>
              <wp:anchor distT="45720" distB="45720" distL="114300" distR="114300" simplePos="0" relativeHeight="251658752" behindDoc="0" locked="0" layoutInCell="1" allowOverlap="1" wp14:anchorId="2987C7FB" wp14:editId="3EA7DB55">
                <wp:simplePos x="0" y="0"/>
                <wp:positionH relativeFrom="column">
                  <wp:posOffset>1612900</wp:posOffset>
                </wp:positionH>
                <wp:positionV relativeFrom="paragraph">
                  <wp:posOffset>1021080</wp:posOffset>
                </wp:positionV>
                <wp:extent cx="927100" cy="1404620"/>
                <wp:effectExtent l="0" t="0" r="6350" b="0"/>
                <wp:wrapNone/>
                <wp:docPr id="1452867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1404620"/>
                        </a:xfrm>
                        <a:prstGeom prst="rect">
                          <a:avLst/>
                        </a:prstGeom>
                        <a:solidFill>
                          <a:srgbClr val="FFFFFF"/>
                        </a:solidFill>
                        <a:ln w="9525">
                          <a:noFill/>
                          <a:miter lim="800000"/>
                          <a:headEnd/>
                          <a:tailEnd/>
                        </a:ln>
                      </wps:spPr>
                      <wps:txbx>
                        <w:txbxContent>
                          <w:p w14:paraId="52644227" w14:textId="77777777" w:rsidR="00C23F78" w:rsidRPr="00DC2927" w:rsidRDefault="00C23F78" w:rsidP="00DC2927">
                            <w:pPr>
                              <w:jc w:val="center"/>
                              <w:rPr>
                                <w:b/>
                                <w:bCs/>
                                <w:sz w:val="28"/>
                                <w:szCs w:val="28"/>
                              </w:rPr>
                            </w:pPr>
                            <w:r w:rsidRPr="00DC2927">
                              <w:rPr>
                                <w:b/>
                                <w:bCs/>
                                <w:sz w:val="28"/>
                                <w:szCs w:val="28"/>
                              </w:rPr>
                              <w:t xml:space="preserve">Total: </w:t>
                            </w:r>
                            <w:r w:rsidRPr="00DC2927">
                              <w:rPr>
                                <w:b/>
                                <w:bCs/>
                                <w:sz w:val="28"/>
                                <w:szCs w:val="28"/>
                              </w:rPr>
                              <w:br/>
                            </w:r>
                            <w:r>
                              <w:rPr>
                                <w:b/>
                                <w:bCs/>
                                <w:sz w:val="28"/>
                                <w:szCs w:val="28"/>
                              </w:rPr>
                              <w:t>150,400 FTEs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87C7FB" id="_x0000_s1058" type="#_x0000_t202" style="position:absolute;margin-left:127pt;margin-top:80.4pt;width:73pt;height:110.6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99XEQIAAP4DAAAOAAAAZHJzL2Uyb0RvYy54bWysk99u2yAUxu8n7R0Q94vtKGkbK07Vpcs0&#10;qfsjdXsAjHGMhjnsQGJ3T78DTtOou5vmCwQ+8HHO73ysb8fesKNCr8FWvJjlnCkrodF2X/Ef33fv&#10;bjjzQdhGGLCq4k/K89vN2zfrwZVqDh2YRiEjEevLwVW8C8GVWeZlp3rhZ+CUpWAL2ItAS9xnDYqB&#10;1HuTzfP8KhsAG4cglff0934K8k3Sb1slw9e29SowU3HKLaQR01jHMdusRblH4TotT2mIf8iiF9rS&#10;pWepexEEO6D+S6rXEsFDG2YS+gzaVkuVaqBqivxVNY+dcCrVQnC8O2Py/09Wfjk+um/IwvgeRmpg&#10;KsK7B5A/PbOw7YTdqztEGDolGrq4iMiywfnydDSi9qWPIvXwGRpqsjgESEJji32kQnUyUqcGPJ2h&#10;qzEwST9X8+sip4ikULHIF1fz1JVMlM+nHfrwUUHP4qTiSE1N6uL44EPMRpTPW+JlHoxudtqYtMB9&#10;vTXIjoIMsEtfKuDVNmPZQKks58ukbCGeT97odSCDGt1X/CaP32SZSOODbdKWILSZ5pSJsSc8kcjE&#10;Joz1yHRD5a3i4YirhuaJgCFMhqQHRJMO8DdnA5mx4v7XQaDizHyyBH1VLBbRvWmxWF4TIoaXkfoy&#10;IqwkqYoHzqbpNiTHJx7ujpqz04nbSyannMlkCefpQUQXX67Trpdnu/kDAAD//wMAUEsDBBQABgAI&#10;AAAAIQDNDNu33gAAAAsBAAAPAAAAZHJzL2Rvd25yZXYueG1sTI/NTsMwEITvSLyDtUjcqE1oqyrE&#10;qSoqLhyQaJHg6MabOMJ/st00vD3LCY47M5qdr9nOzrIJUx6Dl3C/EMDQd0GPfpDwfny+2wDLRXmt&#10;bPAo4RszbNvrq0bVOlz8G06HMjAq8blWEkwpseY8dwadyosQ0ZPXh+RUoTMNXCd1oXJneSXEmjs1&#10;evpgVMQng93X4ewkfDgz6n16/ey1nfYv/W4V5xSlvL2Zd4/ACs7lLwy/82k6tLTpFM5eZ2YlVKsl&#10;sRQy1oIYKLEUgpSThIdNJYC3Df/P0P4AAAD//wMAUEsBAi0AFAAGAAgAAAAhALaDOJL+AAAA4QEA&#10;ABMAAAAAAAAAAAAAAAAAAAAAAFtDb250ZW50X1R5cGVzXS54bWxQSwECLQAUAAYACAAAACEAOP0h&#10;/9YAAACUAQAACwAAAAAAAAAAAAAAAAAvAQAAX3JlbHMvLnJlbHNQSwECLQAUAAYACAAAACEAnjPf&#10;VxECAAD+AwAADgAAAAAAAAAAAAAAAAAuAgAAZHJzL2Uyb0RvYy54bWxQSwECLQAUAAYACAAAACEA&#10;zQzbt94AAAALAQAADwAAAAAAAAAAAAAAAABrBAAAZHJzL2Rvd25yZXYueG1sUEsFBgAAAAAEAAQA&#10;8wAAAHYFAAAAAA==&#10;" stroked="f">
                <v:textbox style="mso-fit-shape-to-text:t">
                  <w:txbxContent>
                    <w:p w14:paraId="52644227" w14:textId="77777777" w:rsidR="00C23F78" w:rsidRPr="00DC2927" w:rsidRDefault="00C23F78" w:rsidP="00DC2927">
                      <w:pPr>
                        <w:jc w:val="center"/>
                        <w:rPr>
                          <w:b/>
                          <w:bCs/>
                          <w:sz w:val="28"/>
                          <w:szCs w:val="28"/>
                        </w:rPr>
                      </w:pPr>
                      <w:r w:rsidRPr="00DC2927">
                        <w:rPr>
                          <w:b/>
                          <w:bCs/>
                          <w:sz w:val="28"/>
                          <w:szCs w:val="28"/>
                        </w:rPr>
                        <w:t xml:space="preserve">Total: </w:t>
                      </w:r>
                      <w:r w:rsidRPr="00DC2927">
                        <w:rPr>
                          <w:b/>
                          <w:bCs/>
                          <w:sz w:val="28"/>
                          <w:szCs w:val="28"/>
                        </w:rPr>
                        <w:br/>
                      </w:r>
                      <w:r>
                        <w:rPr>
                          <w:b/>
                          <w:bCs/>
                          <w:sz w:val="28"/>
                          <w:szCs w:val="28"/>
                        </w:rPr>
                        <w:t>150,400 FTEs</w:t>
                      </w:r>
                    </w:p>
                  </w:txbxContent>
                </v:textbox>
              </v:shape>
            </w:pict>
          </mc:Fallback>
        </mc:AlternateContent>
      </w:r>
      <w:r>
        <w:rPr>
          <w:noProof/>
        </w:rPr>
        <w:drawing>
          <wp:inline distT="0" distB="0" distL="0" distR="0" wp14:anchorId="43D0325F" wp14:editId="5F551F23">
            <wp:extent cx="5763175" cy="2873650"/>
            <wp:effectExtent l="0" t="0" r="0" b="3175"/>
            <wp:docPr id="1309405874" name="Chart 1">
              <a:extLst xmlns:a="http://schemas.openxmlformats.org/drawingml/2006/main">
                <a:ext uri="{FF2B5EF4-FFF2-40B4-BE49-F238E27FC236}">
                  <a16:creationId xmlns:a16="http://schemas.microsoft.com/office/drawing/2014/main" id="{98238624-5F1B-4D04-8EFA-78F81DA49B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909C58A" w14:textId="77777777" w:rsidR="00433651" w:rsidRPr="00DC2927" w:rsidRDefault="00433651" w:rsidP="00DC2927">
      <w:pPr>
        <w:rPr>
          <w:color w:val="EE0000"/>
        </w:rPr>
      </w:pPr>
    </w:p>
    <w:p w14:paraId="53150136" w14:textId="2F2FB8DC" w:rsidR="001C2888" w:rsidRDefault="001C2888">
      <w:pPr>
        <w:jc w:val="both"/>
        <w:rPr>
          <w:kern w:val="2"/>
          <w14:ligatures w14:val="standardContextual"/>
        </w:rPr>
      </w:pPr>
      <w:r>
        <w:t xml:space="preserve">From a regional perspective, while London </w:t>
      </w:r>
      <w:r w:rsidR="005A1ED8">
        <w:t>&amp;</w:t>
      </w:r>
      <w:r>
        <w:t xml:space="preserve"> South East account</w:t>
      </w:r>
      <w:r w:rsidR="005A1ED8">
        <w:t>s</w:t>
      </w:r>
      <w:r>
        <w:t xml:space="preserve"> for a relatively high proportion of total waterway GVA, this is broadly in line with the overall scale of their regional econom</w:t>
      </w:r>
      <w:r w:rsidR="007D0641">
        <w:t>y</w:t>
      </w:r>
      <w:r>
        <w:t>. As a result, waterways make a smaller contribution relative to the size of the economy in these regions, despite high absolute levels of activity and spending.</w:t>
      </w:r>
    </w:p>
    <w:p w14:paraId="420E260C" w14:textId="3B7732EE" w:rsidR="00FB1A76" w:rsidRDefault="00FB1A76">
      <w:pPr>
        <w:jc w:val="both"/>
        <w:rPr>
          <w:kern w:val="2"/>
          <w14:ligatures w14:val="standardContextual"/>
        </w:rPr>
      </w:pPr>
      <w:r>
        <w:t>In contrast, regions such as the North West and West Midlands support a larger share of waterway-related GVA than would be expected based on their share of the UK economy. This indicates that waterways play a more economically significant role in these regions, reflecting their historic concentration of canal infrastructure and the way waterways are embedded in local visitor economies and patterns of everyday use</w:t>
      </w:r>
      <w:r w:rsidR="00C5608F">
        <w:t xml:space="preserve">. Please </w:t>
      </w:r>
      <w:r>
        <w:t>see Figure 11.</w:t>
      </w:r>
    </w:p>
    <w:p w14:paraId="0A3C7FDE" w14:textId="77777777" w:rsidR="001C2888" w:rsidRDefault="001C2888">
      <w:pPr>
        <w:rPr>
          <w:b/>
        </w:rPr>
      </w:pPr>
      <w:r>
        <w:rPr>
          <w:b/>
          <w:bCs/>
        </w:rPr>
        <w:t>Figure 11: Regional comparison of direct waterway GVA relative to regional economic size</w:t>
      </w:r>
    </w:p>
    <w:p w14:paraId="0C7E93E5" w14:textId="591D2B18" w:rsidR="00D94227" w:rsidRDefault="00013C25" w:rsidP="00DC2927">
      <w:pPr>
        <w:rPr>
          <w:kern w:val="2"/>
          <w14:ligatures w14:val="standardContextual"/>
        </w:rPr>
      </w:pPr>
      <w:r>
        <w:rPr>
          <w:noProof/>
        </w:rPr>
        <w:drawing>
          <wp:inline distT="0" distB="0" distL="0" distR="0" wp14:anchorId="4F0B262A" wp14:editId="37248856">
            <wp:extent cx="6400800" cy="2879725"/>
            <wp:effectExtent l="0" t="0" r="0" b="0"/>
            <wp:docPr id="1042445381" name="Chart 1">
              <a:extLst xmlns:a="http://schemas.openxmlformats.org/drawingml/2006/main">
                <a:ext uri="{FF2B5EF4-FFF2-40B4-BE49-F238E27FC236}">
                  <a16:creationId xmlns:a16="http://schemas.microsoft.com/office/drawing/2014/main" id="{DD698C37-D64D-0240-3611-192F2A0B37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9EF086A" w14:textId="6FCEEFBF" w:rsidR="00FB1A76" w:rsidRDefault="00FB1A76">
      <w:pPr>
        <w:jc w:val="both"/>
        <w:rPr>
          <w:kern w:val="2"/>
          <w14:ligatures w14:val="standardContextual"/>
        </w:rPr>
      </w:pPr>
      <w:r>
        <w:t>The distribution of aggregate GVA broadly mirrors the pattern of direct impacts set out earlier, with larger regional economies accounting for a greater share of the total contributio</w:t>
      </w:r>
      <w:r w:rsidR="00C5608F">
        <w:t xml:space="preserve">n. Please </w:t>
      </w:r>
      <w:r>
        <w:t>see Table 1.</w:t>
      </w:r>
    </w:p>
    <w:p w14:paraId="572C51D6" w14:textId="77777777" w:rsidR="001C2888" w:rsidRDefault="001C2888">
      <w:pPr>
        <w:jc w:val="both"/>
        <w:rPr>
          <w:kern w:val="2"/>
          <w14:ligatures w14:val="standardContextual"/>
        </w:rPr>
      </w:pPr>
      <w:r>
        <w:t>The aggregate figures illustrate how the wider economic effects of waterway activity are retained within regions, depending on the size and structure of local economies. Regions with larger and more diversified economic bases capture a greater absolute level of aggregate GVA, reflecting the extent to which spending associated with waterways is absorbed within regional supply chains and household expenditure.</w:t>
      </w:r>
    </w:p>
    <w:p w14:paraId="53580227" w14:textId="77777777" w:rsidR="00FB1A76" w:rsidRDefault="00FB1A76">
      <w:pPr>
        <w:jc w:val="both"/>
        <w:rPr>
          <w:kern w:val="2"/>
          <w14:ligatures w14:val="standardContextual"/>
        </w:rPr>
      </w:pPr>
      <w:r>
        <w:lastRenderedPageBreak/>
        <w:t>As shown in Table 1, aggregate GVA totals across regions do not sum to the national total reported earlier. This is because Table 1 includes only impacts that occur within each region; wider supply-chain and spending effects that fall outside the region, but remain within the UK, are not included in the regional breakdown.</w:t>
      </w:r>
    </w:p>
    <w:p w14:paraId="309D6E73" w14:textId="2087D5D6" w:rsidR="00FB1A76" w:rsidRDefault="00FB1A76">
      <w:pPr>
        <w:jc w:val="both"/>
        <w:rPr>
          <w:kern w:val="2"/>
          <w14:ligatures w14:val="standardContextual"/>
        </w:rPr>
      </w:pPr>
      <w:r>
        <w:t>In employment terms, the regional distribution of aggregate employment is similar to that observed for aggregate GVA, with regions that support higher levels of economic activity overall also supporting a larger number of jobs linked to waterway activity</w:t>
      </w:r>
      <w:r w:rsidR="00C5608F">
        <w:t xml:space="preserve">. Please </w:t>
      </w:r>
      <w:r>
        <w:t>see Table 2.</w:t>
      </w:r>
    </w:p>
    <w:p w14:paraId="1CA25370" w14:textId="4800BF77" w:rsidR="001C2888" w:rsidRDefault="001C2888">
      <w:pPr>
        <w:jc w:val="both"/>
        <w:rPr>
          <w:kern w:val="2"/>
          <w14:ligatures w14:val="standardContextual"/>
        </w:rPr>
      </w:pPr>
      <w:r>
        <w:t xml:space="preserve">The figures highlight the role of </w:t>
      </w:r>
      <w:r w:rsidR="00C3126A">
        <w:t>Canal &amp; River Trust</w:t>
      </w:r>
      <w:r>
        <w:t>-managed waterways in supporting employment across regional economies, particularly through sectors such as hospitality, retail and visitor services. These impacts extend beyond employment directly associated with waterways themselves and reflect the wider economic activity supported through supply chains and household spending.</w:t>
      </w:r>
    </w:p>
    <w:p w14:paraId="64BB6FB2" w14:textId="77777777" w:rsidR="001C2888" w:rsidRDefault="001C2888">
      <w:pPr>
        <w:jc w:val="both"/>
      </w:pPr>
      <w:r>
        <w:t>As with aggregate GVA, aggregate employment totals shown in Table 2 do not add up to the national employment figures presented earlier, as only employment supported within each region is included.</w:t>
      </w:r>
    </w:p>
    <w:p w14:paraId="03977FE4" w14:textId="7B4749C5" w:rsidR="00AF30E8" w:rsidRDefault="004A6D2C" w:rsidP="004345D4">
      <w:pPr>
        <w:rPr>
          <w:b/>
          <w:bCs/>
        </w:rPr>
      </w:pPr>
      <w:r w:rsidRPr="004A6D2C">
        <w:rPr>
          <w:b/>
          <w:bCs/>
        </w:rPr>
        <w:t xml:space="preserve">Table </w:t>
      </w:r>
      <w:r w:rsidR="003613E3">
        <w:rPr>
          <w:b/>
          <w:bCs/>
        </w:rPr>
        <w:t>1</w:t>
      </w:r>
      <w:r w:rsidRPr="004A6D2C">
        <w:rPr>
          <w:b/>
          <w:bCs/>
        </w:rPr>
        <w:t>: Regional breakdown of direct and aggregate GVA, (£ million)</w:t>
      </w:r>
    </w:p>
    <w:tbl>
      <w:tblPr>
        <w:tblW w:w="9800" w:type="dxa"/>
        <w:tblLook w:val="04A0" w:firstRow="1" w:lastRow="0" w:firstColumn="1" w:lastColumn="0" w:noHBand="0" w:noVBand="1"/>
      </w:tblPr>
      <w:tblGrid>
        <w:gridCol w:w="3160"/>
        <w:gridCol w:w="1660"/>
        <w:gridCol w:w="1660"/>
        <w:gridCol w:w="1660"/>
        <w:gridCol w:w="1660"/>
      </w:tblGrid>
      <w:tr w:rsidR="004A6D2C" w:rsidRPr="004A6D2C" w14:paraId="5A07FD47" w14:textId="77777777" w:rsidTr="00FA1EFB">
        <w:trPr>
          <w:trHeight w:val="520"/>
        </w:trPr>
        <w:tc>
          <w:tcPr>
            <w:tcW w:w="3160" w:type="dxa"/>
            <w:tcBorders>
              <w:top w:val="nil"/>
              <w:left w:val="nil"/>
              <w:bottom w:val="single" w:sz="4" w:space="0" w:color="auto"/>
              <w:right w:val="nil"/>
            </w:tcBorders>
            <w:shd w:val="clear" w:color="auto" w:fill="1950A0"/>
            <w:vAlign w:val="center"/>
            <w:hideMark/>
          </w:tcPr>
          <w:p w14:paraId="0FE289A5" w14:textId="06011D14" w:rsidR="004A6D2C" w:rsidRPr="00FA1EFB" w:rsidRDefault="004A6D2C" w:rsidP="007A71B7">
            <w:pPr>
              <w:spacing w:after="0"/>
              <w:jc w:val="center"/>
              <w:rPr>
                <w:rFonts w:asciiTheme="majorHAnsi" w:hAnsiTheme="majorHAnsi"/>
                <w:b/>
                <w:color w:val="FFFFFF"/>
              </w:rPr>
            </w:pPr>
            <w:r w:rsidRPr="00FA1EFB">
              <w:rPr>
                <w:rFonts w:asciiTheme="majorHAnsi" w:hAnsiTheme="majorHAnsi"/>
                <w:b/>
                <w:color w:val="FFFFFF"/>
              </w:rPr>
              <w:t>C</w:t>
            </w:r>
            <w:r w:rsidR="007A71B7">
              <w:rPr>
                <w:rFonts w:asciiTheme="majorHAnsi" w:hAnsiTheme="majorHAnsi"/>
                <w:b/>
                <w:color w:val="FFFFFF"/>
              </w:rPr>
              <w:t>anal &amp; River Trust</w:t>
            </w:r>
            <w:r w:rsidRPr="00FA1EFB">
              <w:rPr>
                <w:rFonts w:asciiTheme="majorHAnsi" w:hAnsiTheme="majorHAnsi"/>
                <w:b/>
                <w:color w:val="FFFFFF"/>
              </w:rPr>
              <w:t xml:space="preserve"> region </w:t>
            </w:r>
          </w:p>
        </w:tc>
        <w:tc>
          <w:tcPr>
            <w:tcW w:w="1660" w:type="dxa"/>
            <w:tcBorders>
              <w:top w:val="nil"/>
              <w:left w:val="nil"/>
              <w:bottom w:val="single" w:sz="4" w:space="0" w:color="auto"/>
              <w:right w:val="nil"/>
            </w:tcBorders>
            <w:shd w:val="clear" w:color="auto" w:fill="1950A0"/>
            <w:vAlign w:val="center"/>
            <w:hideMark/>
          </w:tcPr>
          <w:p w14:paraId="00C744EE" w14:textId="77777777" w:rsidR="004A6D2C" w:rsidRPr="00FA1EFB" w:rsidRDefault="004A6D2C" w:rsidP="004A6D2C">
            <w:pPr>
              <w:spacing w:after="0"/>
              <w:jc w:val="center"/>
              <w:rPr>
                <w:rFonts w:asciiTheme="majorHAnsi" w:hAnsiTheme="majorHAnsi"/>
                <w:b/>
                <w:color w:val="FFFFFF"/>
              </w:rPr>
            </w:pPr>
            <w:r w:rsidRPr="00FA1EFB">
              <w:rPr>
                <w:rFonts w:asciiTheme="majorHAnsi" w:hAnsiTheme="majorHAnsi"/>
                <w:b/>
                <w:color w:val="FFFFFF"/>
              </w:rPr>
              <w:t>Direct GVA (£m)</w:t>
            </w:r>
          </w:p>
        </w:tc>
        <w:tc>
          <w:tcPr>
            <w:tcW w:w="1660" w:type="dxa"/>
            <w:tcBorders>
              <w:top w:val="nil"/>
              <w:left w:val="nil"/>
              <w:bottom w:val="single" w:sz="4" w:space="0" w:color="auto"/>
              <w:right w:val="nil"/>
            </w:tcBorders>
            <w:shd w:val="clear" w:color="auto" w:fill="1950A0"/>
            <w:vAlign w:val="center"/>
            <w:hideMark/>
          </w:tcPr>
          <w:p w14:paraId="77AC0499" w14:textId="77777777" w:rsidR="004A6D2C" w:rsidRPr="00FA1EFB" w:rsidRDefault="004A6D2C" w:rsidP="004A6D2C">
            <w:pPr>
              <w:spacing w:after="0"/>
              <w:jc w:val="center"/>
              <w:rPr>
                <w:rFonts w:asciiTheme="majorHAnsi" w:hAnsiTheme="majorHAnsi"/>
                <w:b/>
                <w:color w:val="FFFFFF"/>
              </w:rPr>
            </w:pPr>
            <w:r w:rsidRPr="00FA1EFB">
              <w:rPr>
                <w:rFonts w:asciiTheme="majorHAnsi" w:hAnsiTheme="majorHAnsi"/>
                <w:b/>
                <w:color w:val="FFFFFF"/>
              </w:rPr>
              <w:t xml:space="preserve">Share of total </w:t>
            </w:r>
          </w:p>
        </w:tc>
        <w:tc>
          <w:tcPr>
            <w:tcW w:w="1660" w:type="dxa"/>
            <w:tcBorders>
              <w:top w:val="nil"/>
              <w:left w:val="nil"/>
              <w:bottom w:val="single" w:sz="4" w:space="0" w:color="auto"/>
              <w:right w:val="nil"/>
            </w:tcBorders>
            <w:shd w:val="clear" w:color="auto" w:fill="1950A0"/>
            <w:vAlign w:val="center"/>
            <w:hideMark/>
          </w:tcPr>
          <w:p w14:paraId="1D394CE2" w14:textId="77777777" w:rsidR="004A6D2C" w:rsidRPr="00FA1EFB" w:rsidRDefault="004A6D2C" w:rsidP="004A6D2C">
            <w:pPr>
              <w:spacing w:after="0"/>
              <w:jc w:val="center"/>
              <w:rPr>
                <w:rFonts w:asciiTheme="majorHAnsi" w:hAnsiTheme="majorHAnsi"/>
                <w:b/>
                <w:color w:val="FFFFFF"/>
              </w:rPr>
            </w:pPr>
            <w:r w:rsidRPr="00FA1EFB">
              <w:rPr>
                <w:rFonts w:asciiTheme="majorHAnsi" w:hAnsiTheme="majorHAnsi"/>
                <w:b/>
                <w:color w:val="FFFFFF"/>
              </w:rPr>
              <w:t>Aggregate GVA (£m)</w:t>
            </w:r>
          </w:p>
        </w:tc>
        <w:tc>
          <w:tcPr>
            <w:tcW w:w="1660" w:type="dxa"/>
            <w:tcBorders>
              <w:top w:val="nil"/>
              <w:left w:val="nil"/>
              <w:bottom w:val="single" w:sz="4" w:space="0" w:color="auto"/>
              <w:right w:val="nil"/>
            </w:tcBorders>
            <w:shd w:val="clear" w:color="auto" w:fill="1950A0"/>
            <w:vAlign w:val="center"/>
            <w:hideMark/>
          </w:tcPr>
          <w:p w14:paraId="3A473D50" w14:textId="77777777" w:rsidR="004A6D2C" w:rsidRPr="00FA1EFB" w:rsidRDefault="004A6D2C" w:rsidP="004A6D2C">
            <w:pPr>
              <w:spacing w:after="0"/>
              <w:jc w:val="center"/>
              <w:rPr>
                <w:rFonts w:asciiTheme="majorHAnsi" w:hAnsiTheme="majorHAnsi"/>
                <w:b/>
                <w:color w:val="FFFFFF"/>
              </w:rPr>
            </w:pPr>
            <w:r w:rsidRPr="00FA1EFB">
              <w:rPr>
                <w:rFonts w:asciiTheme="majorHAnsi" w:hAnsiTheme="majorHAnsi"/>
                <w:b/>
                <w:color w:val="FFFFFF"/>
              </w:rPr>
              <w:t xml:space="preserve">Share of total </w:t>
            </w:r>
          </w:p>
        </w:tc>
      </w:tr>
      <w:tr w:rsidR="0085014C" w:rsidRPr="004A6D2C" w14:paraId="304C10CE" w14:textId="77777777" w:rsidTr="00FA1EFB">
        <w:trPr>
          <w:trHeight w:val="290"/>
        </w:trPr>
        <w:tc>
          <w:tcPr>
            <w:tcW w:w="3160" w:type="dxa"/>
            <w:tcBorders>
              <w:top w:val="nil"/>
              <w:left w:val="nil"/>
              <w:bottom w:val="single" w:sz="4" w:space="0" w:color="auto"/>
              <w:right w:val="nil"/>
            </w:tcBorders>
            <w:shd w:val="clear" w:color="auto" w:fill="1950A0"/>
            <w:vAlign w:val="center"/>
            <w:hideMark/>
          </w:tcPr>
          <w:p w14:paraId="7F8C771D" w14:textId="77777777" w:rsidR="0085014C" w:rsidRPr="00FA1EFB" w:rsidRDefault="0085014C" w:rsidP="0085014C">
            <w:pPr>
              <w:spacing w:after="0"/>
              <w:jc w:val="center"/>
              <w:rPr>
                <w:rFonts w:asciiTheme="majorHAnsi" w:hAnsiTheme="majorHAnsi"/>
                <w:b/>
                <w:color w:val="FFFFFF"/>
              </w:rPr>
            </w:pPr>
            <w:r w:rsidRPr="00FA1EFB">
              <w:rPr>
                <w:rFonts w:asciiTheme="majorHAnsi" w:hAnsiTheme="majorHAnsi"/>
                <w:b/>
                <w:color w:val="FFFFFF"/>
              </w:rPr>
              <w:t>London &amp; South East</w:t>
            </w:r>
          </w:p>
        </w:tc>
        <w:tc>
          <w:tcPr>
            <w:tcW w:w="1660" w:type="dxa"/>
            <w:tcBorders>
              <w:top w:val="nil"/>
              <w:left w:val="nil"/>
              <w:bottom w:val="single" w:sz="4" w:space="0" w:color="auto"/>
              <w:right w:val="nil"/>
            </w:tcBorders>
            <w:vAlign w:val="center"/>
            <w:hideMark/>
          </w:tcPr>
          <w:p w14:paraId="4AC28A12" w14:textId="06D8B4D6" w:rsidR="0085014C" w:rsidRPr="004A6D2C" w:rsidRDefault="0085014C" w:rsidP="0085014C">
            <w:pPr>
              <w:spacing w:after="0"/>
              <w:jc w:val="right"/>
              <w:rPr>
                <w:rFonts w:ascii="Modern Era" w:hAnsi="Modern Era"/>
                <w:color w:val="000000"/>
              </w:rPr>
            </w:pPr>
            <w:r w:rsidRPr="004A6D2C">
              <w:rPr>
                <w:rFonts w:ascii="Modern Era" w:hAnsi="Modern Era"/>
                <w:color w:val="000000"/>
              </w:rPr>
              <w:t xml:space="preserve">1,444 </w:t>
            </w:r>
          </w:p>
        </w:tc>
        <w:tc>
          <w:tcPr>
            <w:tcW w:w="1660" w:type="dxa"/>
            <w:tcBorders>
              <w:top w:val="nil"/>
              <w:left w:val="nil"/>
              <w:bottom w:val="single" w:sz="4" w:space="0" w:color="auto"/>
              <w:right w:val="nil"/>
            </w:tcBorders>
            <w:vAlign w:val="center"/>
            <w:hideMark/>
          </w:tcPr>
          <w:p w14:paraId="2437BC2B" w14:textId="77777777" w:rsidR="0085014C" w:rsidRPr="004A6D2C" w:rsidRDefault="0085014C" w:rsidP="0085014C">
            <w:pPr>
              <w:spacing w:after="0"/>
              <w:jc w:val="right"/>
              <w:rPr>
                <w:rFonts w:ascii="Modern Era" w:hAnsi="Modern Era"/>
                <w:color w:val="000000"/>
              </w:rPr>
            </w:pPr>
            <w:r w:rsidRPr="004A6D2C">
              <w:rPr>
                <w:rFonts w:ascii="Modern Era" w:hAnsi="Modern Era"/>
                <w:color w:val="000000"/>
              </w:rPr>
              <w:t>28%</w:t>
            </w:r>
          </w:p>
        </w:tc>
        <w:tc>
          <w:tcPr>
            <w:tcW w:w="1660" w:type="dxa"/>
            <w:tcBorders>
              <w:top w:val="nil"/>
              <w:left w:val="nil"/>
              <w:bottom w:val="single" w:sz="4" w:space="0" w:color="auto"/>
              <w:right w:val="nil"/>
            </w:tcBorders>
            <w:vAlign w:val="center"/>
            <w:hideMark/>
          </w:tcPr>
          <w:p w14:paraId="093A791E" w14:textId="77777777" w:rsidR="0085014C" w:rsidRPr="004A6D2C" w:rsidRDefault="0085014C" w:rsidP="0085014C">
            <w:pPr>
              <w:spacing w:after="0"/>
              <w:jc w:val="right"/>
              <w:rPr>
                <w:rFonts w:ascii="Modern Era" w:hAnsi="Modern Era"/>
                <w:color w:val="000000"/>
              </w:rPr>
            </w:pPr>
            <w:r w:rsidRPr="004A6D2C">
              <w:rPr>
                <w:rFonts w:ascii="Modern Era" w:hAnsi="Modern Era"/>
                <w:color w:val="000000"/>
              </w:rPr>
              <w:t xml:space="preserve">                  2,911 </w:t>
            </w:r>
          </w:p>
        </w:tc>
        <w:tc>
          <w:tcPr>
            <w:tcW w:w="1660" w:type="dxa"/>
            <w:tcBorders>
              <w:top w:val="nil"/>
              <w:left w:val="nil"/>
              <w:bottom w:val="single" w:sz="4" w:space="0" w:color="auto"/>
              <w:right w:val="nil"/>
            </w:tcBorders>
            <w:vAlign w:val="center"/>
            <w:hideMark/>
          </w:tcPr>
          <w:p w14:paraId="23452FEB" w14:textId="173C5780" w:rsidR="0085014C" w:rsidRPr="004A6D2C" w:rsidRDefault="0085014C" w:rsidP="0085014C">
            <w:pPr>
              <w:spacing w:after="0"/>
              <w:jc w:val="right"/>
              <w:rPr>
                <w:rFonts w:ascii="Modern Era" w:hAnsi="Modern Era"/>
                <w:color w:val="000000"/>
              </w:rPr>
            </w:pPr>
            <w:r>
              <w:rPr>
                <w:rFonts w:ascii="Modern Era" w:hAnsi="Modern Era"/>
                <w:color w:val="000000"/>
              </w:rPr>
              <w:t>30%</w:t>
            </w:r>
          </w:p>
        </w:tc>
      </w:tr>
      <w:tr w:rsidR="0085014C" w:rsidRPr="004A6D2C" w14:paraId="079D13D1" w14:textId="77777777" w:rsidTr="00FA1EFB">
        <w:trPr>
          <w:trHeight w:val="290"/>
        </w:trPr>
        <w:tc>
          <w:tcPr>
            <w:tcW w:w="3160" w:type="dxa"/>
            <w:tcBorders>
              <w:top w:val="nil"/>
              <w:left w:val="nil"/>
              <w:bottom w:val="single" w:sz="4" w:space="0" w:color="auto"/>
              <w:right w:val="nil"/>
            </w:tcBorders>
            <w:shd w:val="clear" w:color="auto" w:fill="1950A0"/>
            <w:vAlign w:val="center"/>
            <w:hideMark/>
          </w:tcPr>
          <w:p w14:paraId="712D7EC8" w14:textId="77777777" w:rsidR="0085014C" w:rsidRPr="00FA1EFB" w:rsidRDefault="0085014C" w:rsidP="0085014C">
            <w:pPr>
              <w:spacing w:after="0"/>
              <w:jc w:val="center"/>
              <w:rPr>
                <w:rFonts w:asciiTheme="majorHAnsi" w:hAnsiTheme="majorHAnsi"/>
                <w:b/>
                <w:color w:val="FFFFFF"/>
              </w:rPr>
            </w:pPr>
            <w:r w:rsidRPr="00FA1EFB">
              <w:rPr>
                <w:rFonts w:asciiTheme="majorHAnsi" w:hAnsiTheme="majorHAnsi"/>
                <w:b/>
                <w:color w:val="FFFFFF"/>
              </w:rPr>
              <w:t>West Midlands</w:t>
            </w:r>
          </w:p>
        </w:tc>
        <w:tc>
          <w:tcPr>
            <w:tcW w:w="1660" w:type="dxa"/>
            <w:tcBorders>
              <w:top w:val="nil"/>
              <w:left w:val="nil"/>
              <w:bottom w:val="single" w:sz="4" w:space="0" w:color="auto"/>
              <w:right w:val="nil"/>
            </w:tcBorders>
            <w:vAlign w:val="center"/>
            <w:hideMark/>
          </w:tcPr>
          <w:p w14:paraId="7965B796" w14:textId="77777777" w:rsidR="0085014C" w:rsidRPr="004A6D2C" w:rsidRDefault="0085014C" w:rsidP="0085014C">
            <w:pPr>
              <w:spacing w:after="0"/>
              <w:jc w:val="right"/>
              <w:rPr>
                <w:rFonts w:ascii="Modern Era" w:hAnsi="Modern Era"/>
                <w:color w:val="000000"/>
              </w:rPr>
            </w:pPr>
            <w:r w:rsidRPr="004A6D2C">
              <w:rPr>
                <w:rFonts w:ascii="Modern Era" w:hAnsi="Modern Era"/>
                <w:color w:val="000000"/>
              </w:rPr>
              <w:t xml:space="preserve">                   837 </w:t>
            </w:r>
          </w:p>
        </w:tc>
        <w:tc>
          <w:tcPr>
            <w:tcW w:w="1660" w:type="dxa"/>
            <w:tcBorders>
              <w:top w:val="nil"/>
              <w:left w:val="nil"/>
              <w:bottom w:val="single" w:sz="4" w:space="0" w:color="auto"/>
              <w:right w:val="nil"/>
            </w:tcBorders>
            <w:vAlign w:val="center"/>
            <w:hideMark/>
          </w:tcPr>
          <w:p w14:paraId="4E40FC4A" w14:textId="77777777" w:rsidR="0085014C" w:rsidRPr="004A6D2C" w:rsidRDefault="0085014C" w:rsidP="0085014C">
            <w:pPr>
              <w:spacing w:after="0"/>
              <w:jc w:val="right"/>
              <w:rPr>
                <w:rFonts w:ascii="Modern Era" w:hAnsi="Modern Era"/>
                <w:color w:val="000000"/>
              </w:rPr>
            </w:pPr>
            <w:r w:rsidRPr="004A6D2C">
              <w:rPr>
                <w:rFonts w:ascii="Modern Era" w:hAnsi="Modern Era"/>
                <w:color w:val="000000"/>
              </w:rPr>
              <w:t>16%</w:t>
            </w:r>
          </w:p>
        </w:tc>
        <w:tc>
          <w:tcPr>
            <w:tcW w:w="1660" w:type="dxa"/>
            <w:tcBorders>
              <w:top w:val="nil"/>
              <w:left w:val="nil"/>
              <w:bottom w:val="single" w:sz="4" w:space="0" w:color="auto"/>
              <w:right w:val="nil"/>
            </w:tcBorders>
            <w:vAlign w:val="center"/>
            <w:hideMark/>
          </w:tcPr>
          <w:p w14:paraId="2E1B7408" w14:textId="77777777" w:rsidR="0085014C" w:rsidRPr="004A6D2C" w:rsidRDefault="0085014C" w:rsidP="0085014C">
            <w:pPr>
              <w:spacing w:after="0"/>
              <w:jc w:val="right"/>
              <w:rPr>
                <w:rFonts w:ascii="Modern Era" w:hAnsi="Modern Era"/>
                <w:color w:val="000000"/>
              </w:rPr>
            </w:pPr>
            <w:r w:rsidRPr="004A6D2C">
              <w:rPr>
                <w:rFonts w:ascii="Modern Era" w:hAnsi="Modern Era"/>
                <w:color w:val="000000"/>
              </w:rPr>
              <w:t xml:space="preserve">                 1,296 </w:t>
            </w:r>
          </w:p>
        </w:tc>
        <w:tc>
          <w:tcPr>
            <w:tcW w:w="1660" w:type="dxa"/>
            <w:tcBorders>
              <w:top w:val="nil"/>
              <w:left w:val="nil"/>
              <w:bottom w:val="single" w:sz="4" w:space="0" w:color="auto"/>
              <w:right w:val="nil"/>
            </w:tcBorders>
            <w:vAlign w:val="center"/>
            <w:hideMark/>
          </w:tcPr>
          <w:p w14:paraId="6E3F25E1" w14:textId="645DF946" w:rsidR="0085014C" w:rsidRPr="004A6D2C" w:rsidRDefault="0085014C" w:rsidP="0085014C">
            <w:pPr>
              <w:spacing w:after="0"/>
              <w:jc w:val="right"/>
              <w:rPr>
                <w:rFonts w:ascii="Modern Era" w:hAnsi="Modern Era"/>
                <w:color w:val="000000"/>
              </w:rPr>
            </w:pPr>
            <w:r>
              <w:rPr>
                <w:rFonts w:ascii="Modern Era" w:hAnsi="Modern Era"/>
                <w:color w:val="000000"/>
              </w:rPr>
              <w:t>13%</w:t>
            </w:r>
          </w:p>
        </w:tc>
      </w:tr>
      <w:tr w:rsidR="0085014C" w:rsidRPr="004A6D2C" w14:paraId="202F6F35" w14:textId="77777777" w:rsidTr="00FA1EFB">
        <w:trPr>
          <w:trHeight w:val="50"/>
        </w:trPr>
        <w:tc>
          <w:tcPr>
            <w:tcW w:w="3160" w:type="dxa"/>
            <w:tcBorders>
              <w:top w:val="nil"/>
              <w:left w:val="nil"/>
              <w:bottom w:val="single" w:sz="4" w:space="0" w:color="auto"/>
              <w:right w:val="nil"/>
            </w:tcBorders>
            <w:shd w:val="clear" w:color="auto" w:fill="1950A0"/>
            <w:vAlign w:val="center"/>
            <w:hideMark/>
          </w:tcPr>
          <w:p w14:paraId="300DDBC5" w14:textId="77777777" w:rsidR="0085014C" w:rsidRPr="00FA1EFB" w:rsidRDefault="0085014C" w:rsidP="0085014C">
            <w:pPr>
              <w:spacing w:after="0"/>
              <w:jc w:val="center"/>
              <w:rPr>
                <w:rFonts w:asciiTheme="majorHAnsi" w:hAnsiTheme="majorHAnsi"/>
                <w:b/>
                <w:color w:val="FFFFFF"/>
              </w:rPr>
            </w:pPr>
            <w:r w:rsidRPr="00FA1EFB">
              <w:rPr>
                <w:rFonts w:asciiTheme="majorHAnsi" w:hAnsiTheme="majorHAnsi"/>
                <w:b/>
                <w:color w:val="FFFFFF"/>
              </w:rPr>
              <w:t>North West</w:t>
            </w:r>
          </w:p>
        </w:tc>
        <w:tc>
          <w:tcPr>
            <w:tcW w:w="1660" w:type="dxa"/>
            <w:tcBorders>
              <w:top w:val="nil"/>
              <w:left w:val="nil"/>
              <w:bottom w:val="single" w:sz="4" w:space="0" w:color="auto"/>
              <w:right w:val="nil"/>
            </w:tcBorders>
            <w:vAlign w:val="center"/>
            <w:hideMark/>
          </w:tcPr>
          <w:p w14:paraId="1EB4D9CD" w14:textId="77777777" w:rsidR="0085014C" w:rsidRPr="004A6D2C" w:rsidRDefault="0085014C" w:rsidP="0085014C">
            <w:pPr>
              <w:spacing w:after="0"/>
              <w:jc w:val="right"/>
              <w:rPr>
                <w:rFonts w:ascii="Modern Era" w:hAnsi="Modern Era"/>
                <w:color w:val="000000"/>
              </w:rPr>
            </w:pPr>
            <w:r w:rsidRPr="004A6D2C">
              <w:rPr>
                <w:rFonts w:ascii="Modern Era" w:hAnsi="Modern Era"/>
                <w:color w:val="000000"/>
              </w:rPr>
              <w:t xml:space="preserve">                   804 </w:t>
            </w:r>
          </w:p>
        </w:tc>
        <w:tc>
          <w:tcPr>
            <w:tcW w:w="1660" w:type="dxa"/>
            <w:tcBorders>
              <w:top w:val="nil"/>
              <w:left w:val="nil"/>
              <w:bottom w:val="single" w:sz="4" w:space="0" w:color="auto"/>
              <w:right w:val="nil"/>
            </w:tcBorders>
            <w:vAlign w:val="center"/>
            <w:hideMark/>
          </w:tcPr>
          <w:p w14:paraId="1B146105" w14:textId="77777777" w:rsidR="0085014C" w:rsidRPr="004A6D2C" w:rsidRDefault="0085014C" w:rsidP="0085014C">
            <w:pPr>
              <w:spacing w:after="0"/>
              <w:jc w:val="right"/>
              <w:rPr>
                <w:rFonts w:ascii="Modern Era" w:hAnsi="Modern Era"/>
                <w:color w:val="000000"/>
              </w:rPr>
            </w:pPr>
            <w:r w:rsidRPr="004A6D2C">
              <w:rPr>
                <w:rFonts w:ascii="Modern Era" w:hAnsi="Modern Era"/>
                <w:color w:val="000000"/>
              </w:rPr>
              <w:t>16%</w:t>
            </w:r>
          </w:p>
        </w:tc>
        <w:tc>
          <w:tcPr>
            <w:tcW w:w="1660" w:type="dxa"/>
            <w:tcBorders>
              <w:top w:val="nil"/>
              <w:left w:val="nil"/>
              <w:bottom w:val="single" w:sz="4" w:space="0" w:color="auto"/>
              <w:right w:val="nil"/>
            </w:tcBorders>
            <w:vAlign w:val="center"/>
            <w:hideMark/>
          </w:tcPr>
          <w:p w14:paraId="77DAC498" w14:textId="77777777" w:rsidR="0085014C" w:rsidRPr="004A6D2C" w:rsidRDefault="0085014C" w:rsidP="0085014C">
            <w:pPr>
              <w:spacing w:after="0"/>
              <w:jc w:val="right"/>
              <w:rPr>
                <w:rFonts w:ascii="Modern Era" w:hAnsi="Modern Era"/>
                <w:color w:val="000000"/>
              </w:rPr>
            </w:pPr>
            <w:r w:rsidRPr="004A6D2C">
              <w:rPr>
                <w:rFonts w:ascii="Modern Era" w:hAnsi="Modern Era"/>
                <w:color w:val="000000"/>
              </w:rPr>
              <w:t xml:space="preserve">                  1,521 </w:t>
            </w:r>
          </w:p>
        </w:tc>
        <w:tc>
          <w:tcPr>
            <w:tcW w:w="1660" w:type="dxa"/>
            <w:tcBorders>
              <w:top w:val="nil"/>
              <w:left w:val="nil"/>
              <w:bottom w:val="single" w:sz="4" w:space="0" w:color="auto"/>
              <w:right w:val="nil"/>
            </w:tcBorders>
            <w:vAlign w:val="center"/>
            <w:hideMark/>
          </w:tcPr>
          <w:p w14:paraId="1EB4FBDF" w14:textId="64A27071" w:rsidR="0085014C" w:rsidRPr="004A6D2C" w:rsidRDefault="0085014C" w:rsidP="0085014C">
            <w:pPr>
              <w:spacing w:after="0"/>
              <w:jc w:val="right"/>
              <w:rPr>
                <w:rFonts w:ascii="Modern Era" w:hAnsi="Modern Era"/>
                <w:color w:val="000000"/>
              </w:rPr>
            </w:pPr>
            <w:r>
              <w:rPr>
                <w:rFonts w:ascii="Modern Era" w:hAnsi="Modern Era"/>
                <w:color w:val="000000"/>
              </w:rPr>
              <w:t>16%</w:t>
            </w:r>
          </w:p>
        </w:tc>
      </w:tr>
      <w:tr w:rsidR="0085014C" w:rsidRPr="004A6D2C" w14:paraId="77D4CED3" w14:textId="77777777" w:rsidTr="00FA1EFB">
        <w:trPr>
          <w:trHeight w:val="290"/>
        </w:trPr>
        <w:tc>
          <w:tcPr>
            <w:tcW w:w="3160" w:type="dxa"/>
            <w:tcBorders>
              <w:top w:val="nil"/>
              <w:left w:val="nil"/>
              <w:bottom w:val="single" w:sz="4" w:space="0" w:color="auto"/>
              <w:right w:val="nil"/>
            </w:tcBorders>
            <w:shd w:val="clear" w:color="auto" w:fill="1950A0"/>
            <w:vAlign w:val="center"/>
            <w:hideMark/>
          </w:tcPr>
          <w:p w14:paraId="56CA0BE2" w14:textId="77777777" w:rsidR="0085014C" w:rsidRPr="00FA1EFB" w:rsidRDefault="0085014C" w:rsidP="0085014C">
            <w:pPr>
              <w:spacing w:after="0"/>
              <w:jc w:val="center"/>
              <w:rPr>
                <w:rFonts w:asciiTheme="majorHAnsi" w:hAnsiTheme="majorHAnsi"/>
                <w:b/>
                <w:color w:val="FFFFFF"/>
              </w:rPr>
            </w:pPr>
            <w:r w:rsidRPr="00FA1EFB">
              <w:rPr>
                <w:rFonts w:asciiTheme="majorHAnsi" w:hAnsiTheme="majorHAnsi"/>
                <w:b/>
                <w:color w:val="FFFFFF"/>
              </w:rPr>
              <w:t>Wales &amp; South West</w:t>
            </w:r>
          </w:p>
        </w:tc>
        <w:tc>
          <w:tcPr>
            <w:tcW w:w="1660" w:type="dxa"/>
            <w:tcBorders>
              <w:top w:val="nil"/>
              <w:left w:val="nil"/>
              <w:bottom w:val="single" w:sz="4" w:space="0" w:color="auto"/>
              <w:right w:val="nil"/>
            </w:tcBorders>
            <w:vAlign w:val="center"/>
            <w:hideMark/>
          </w:tcPr>
          <w:p w14:paraId="2036CFD2" w14:textId="77777777" w:rsidR="0085014C" w:rsidRPr="004A6D2C" w:rsidRDefault="0085014C" w:rsidP="0085014C">
            <w:pPr>
              <w:spacing w:after="0"/>
              <w:jc w:val="right"/>
              <w:rPr>
                <w:rFonts w:ascii="Modern Era" w:hAnsi="Modern Era"/>
                <w:color w:val="000000"/>
              </w:rPr>
            </w:pPr>
            <w:r w:rsidRPr="004A6D2C">
              <w:rPr>
                <w:rFonts w:ascii="Modern Era" w:hAnsi="Modern Era"/>
                <w:color w:val="000000"/>
              </w:rPr>
              <w:t xml:space="preserve">                   676 </w:t>
            </w:r>
          </w:p>
        </w:tc>
        <w:tc>
          <w:tcPr>
            <w:tcW w:w="1660" w:type="dxa"/>
            <w:tcBorders>
              <w:top w:val="nil"/>
              <w:left w:val="nil"/>
              <w:bottom w:val="single" w:sz="4" w:space="0" w:color="auto"/>
              <w:right w:val="nil"/>
            </w:tcBorders>
            <w:vAlign w:val="center"/>
            <w:hideMark/>
          </w:tcPr>
          <w:p w14:paraId="71CF6249" w14:textId="77777777" w:rsidR="0085014C" w:rsidRPr="004A6D2C" w:rsidRDefault="0085014C" w:rsidP="0085014C">
            <w:pPr>
              <w:spacing w:after="0"/>
              <w:jc w:val="right"/>
              <w:rPr>
                <w:rFonts w:ascii="Modern Era" w:hAnsi="Modern Era"/>
                <w:color w:val="000000"/>
              </w:rPr>
            </w:pPr>
            <w:r w:rsidRPr="004A6D2C">
              <w:rPr>
                <w:rFonts w:ascii="Modern Era" w:hAnsi="Modern Era"/>
                <w:color w:val="000000"/>
              </w:rPr>
              <w:t>13%</w:t>
            </w:r>
          </w:p>
        </w:tc>
        <w:tc>
          <w:tcPr>
            <w:tcW w:w="1660" w:type="dxa"/>
            <w:tcBorders>
              <w:top w:val="nil"/>
              <w:left w:val="nil"/>
              <w:bottom w:val="single" w:sz="4" w:space="0" w:color="auto"/>
              <w:right w:val="nil"/>
            </w:tcBorders>
            <w:vAlign w:val="center"/>
            <w:hideMark/>
          </w:tcPr>
          <w:p w14:paraId="3BFA70CC" w14:textId="77777777" w:rsidR="0085014C" w:rsidRPr="004A6D2C" w:rsidRDefault="0085014C" w:rsidP="0085014C">
            <w:pPr>
              <w:spacing w:after="0"/>
              <w:jc w:val="right"/>
              <w:rPr>
                <w:rFonts w:ascii="Modern Era" w:hAnsi="Modern Era"/>
                <w:color w:val="000000"/>
              </w:rPr>
            </w:pPr>
            <w:r w:rsidRPr="004A6D2C">
              <w:rPr>
                <w:rFonts w:ascii="Modern Era" w:hAnsi="Modern Era"/>
                <w:color w:val="000000"/>
              </w:rPr>
              <w:t xml:space="preserve">                 1,375 </w:t>
            </w:r>
          </w:p>
        </w:tc>
        <w:tc>
          <w:tcPr>
            <w:tcW w:w="1660" w:type="dxa"/>
            <w:tcBorders>
              <w:top w:val="nil"/>
              <w:left w:val="nil"/>
              <w:bottom w:val="single" w:sz="4" w:space="0" w:color="auto"/>
              <w:right w:val="nil"/>
            </w:tcBorders>
            <w:vAlign w:val="center"/>
            <w:hideMark/>
          </w:tcPr>
          <w:p w14:paraId="11C619B4" w14:textId="65A1DE2E" w:rsidR="0085014C" w:rsidRPr="004A6D2C" w:rsidRDefault="0085014C" w:rsidP="0085014C">
            <w:pPr>
              <w:spacing w:after="0"/>
              <w:jc w:val="right"/>
              <w:rPr>
                <w:rFonts w:ascii="Modern Era" w:hAnsi="Modern Era"/>
                <w:color w:val="000000"/>
              </w:rPr>
            </w:pPr>
            <w:r>
              <w:rPr>
                <w:rFonts w:ascii="Modern Era" w:hAnsi="Modern Era"/>
                <w:color w:val="000000"/>
              </w:rPr>
              <w:t>14%</w:t>
            </w:r>
          </w:p>
        </w:tc>
      </w:tr>
      <w:tr w:rsidR="0085014C" w:rsidRPr="004A6D2C" w14:paraId="6DA7DCF2" w14:textId="77777777" w:rsidTr="00FA1EFB">
        <w:trPr>
          <w:trHeight w:val="290"/>
        </w:trPr>
        <w:tc>
          <w:tcPr>
            <w:tcW w:w="3160" w:type="dxa"/>
            <w:tcBorders>
              <w:top w:val="nil"/>
              <w:left w:val="nil"/>
              <w:bottom w:val="single" w:sz="4" w:space="0" w:color="auto"/>
              <w:right w:val="nil"/>
            </w:tcBorders>
            <w:shd w:val="clear" w:color="auto" w:fill="1950A0"/>
            <w:vAlign w:val="center"/>
            <w:hideMark/>
          </w:tcPr>
          <w:p w14:paraId="3A0F7CF3" w14:textId="3A8FEC18" w:rsidR="0085014C" w:rsidRPr="00FA1EFB" w:rsidRDefault="0085014C" w:rsidP="0085014C">
            <w:pPr>
              <w:spacing w:after="0"/>
              <w:jc w:val="center"/>
              <w:rPr>
                <w:rFonts w:asciiTheme="majorHAnsi" w:hAnsiTheme="majorHAnsi"/>
                <w:b/>
                <w:color w:val="FFFFFF"/>
              </w:rPr>
            </w:pPr>
            <w:r w:rsidRPr="00FA1EFB">
              <w:rPr>
                <w:rFonts w:asciiTheme="majorHAnsi" w:hAnsiTheme="majorHAnsi"/>
                <w:b/>
                <w:color w:val="FFFFFF"/>
              </w:rPr>
              <w:t>East Midlands</w:t>
            </w:r>
          </w:p>
        </w:tc>
        <w:tc>
          <w:tcPr>
            <w:tcW w:w="1660" w:type="dxa"/>
            <w:tcBorders>
              <w:top w:val="nil"/>
              <w:left w:val="nil"/>
              <w:bottom w:val="single" w:sz="4" w:space="0" w:color="auto"/>
              <w:right w:val="nil"/>
            </w:tcBorders>
            <w:vAlign w:val="center"/>
            <w:hideMark/>
          </w:tcPr>
          <w:p w14:paraId="7F393956" w14:textId="77777777" w:rsidR="0085014C" w:rsidRPr="004A6D2C" w:rsidRDefault="0085014C" w:rsidP="0085014C">
            <w:pPr>
              <w:spacing w:after="0"/>
              <w:jc w:val="right"/>
              <w:rPr>
                <w:rFonts w:ascii="Modern Era" w:hAnsi="Modern Era"/>
                <w:color w:val="000000"/>
              </w:rPr>
            </w:pPr>
            <w:r w:rsidRPr="004A6D2C">
              <w:rPr>
                <w:rFonts w:ascii="Modern Era" w:hAnsi="Modern Era"/>
                <w:color w:val="000000"/>
              </w:rPr>
              <w:t xml:space="preserve">                   686 </w:t>
            </w:r>
          </w:p>
        </w:tc>
        <w:tc>
          <w:tcPr>
            <w:tcW w:w="1660" w:type="dxa"/>
            <w:tcBorders>
              <w:top w:val="nil"/>
              <w:left w:val="nil"/>
              <w:bottom w:val="single" w:sz="4" w:space="0" w:color="auto"/>
              <w:right w:val="nil"/>
            </w:tcBorders>
            <w:vAlign w:val="center"/>
            <w:hideMark/>
          </w:tcPr>
          <w:p w14:paraId="515987E2" w14:textId="77777777" w:rsidR="0085014C" w:rsidRPr="004A6D2C" w:rsidRDefault="0085014C" w:rsidP="0085014C">
            <w:pPr>
              <w:spacing w:after="0"/>
              <w:jc w:val="right"/>
              <w:rPr>
                <w:rFonts w:ascii="Modern Era" w:hAnsi="Modern Era"/>
                <w:color w:val="000000"/>
              </w:rPr>
            </w:pPr>
            <w:r w:rsidRPr="004A6D2C">
              <w:rPr>
                <w:rFonts w:ascii="Modern Era" w:hAnsi="Modern Era"/>
                <w:color w:val="000000"/>
              </w:rPr>
              <w:t>13%</w:t>
            </w:r>
          </w:p>
        </w:tc>
        <w:tc>
          <w:tcPr>
            <w:tcW w:w="1660" w:type="dxa"/>
            <w:tcBorders>
              <w:top w:val="nil"/>
              <w:left w:val="nil"/>
              <w:bottom w:val="single" w:sz="4" w:space="0" w:color="auto"/>
              <w:right w:val="nil"/>
            </w:tcBorders>
            <w:vAlign w:val="center"/>
            <w:hideMark/>
          </w:tcPr>
          <w:p w14:paraId="72BEDBD0" w14:textId="77777777" w:rsidR="0085014C" w:rsidRPr="004A6D2C" w:rsidRDefault="0085014C" w:rsidP="0085014C">
            <w:pPr>
              <w:spacing w:after="0"/>
              <w:jc w:val="right"/>
              <w:rPr>
                <w:rFonts w:ascii="Modern Era" w:hAnsi="Modern Era"/>
                <w:color w:val="000000"/>
              </w:rPr>
            </w:pPr>
            <w:r w:rsidRPr="004A6D2C">
              <w:rPr>
                <w:rFonts w:ascii="Modern Era" w:hAnsi="Modern Era"/>
                <w:color w:val="000000"/>
              </w:rPr>
              <w:t xml:space="preserve">                 1,396 </w:t>
            </w:r>
          </w:p>
        </w:tc>
        <w:tc>
          <w:tcPr>
            <w:tcW w:w="1660" w:type="dxa"/>
            <w:tcBorders>
              <w:top w:val="nil"/>
              <w:left w:val="nil"/>
              <w:bottom w:val="single" w:sz="4" w:space="0" w:color="auto"/>
              <w:right w:val="nil"/>
            </w:tcBorders>
            <w:vAlign w:val="center"/>
            <w:hideMark/>
          </w:tcPr>
          <w:p w14:paraId="1F03BE4A" w14:textId="53814D37" w:rsidR="0085014C" w:rsidRPr="004A6D2C" w:rsidRDefault="0085014C" w:rsidP="0085014C">
            <w:pPr>
              <w:spacing w:after="0"/>
              <w:jc w:val="right"/>
              <w:rPr>
                <w:rFonts w:ascii="Modern Era" w:hAnsi="Modern Era"/>
                <w:color w:val="000000"/>
              </w:rPr>
            </w:pPr>
            <w:r>
              <w:rPr>
                <w:rFonts w:ascii="Modern Era" w:hAnsi="Modern Era"/>
                <w:color w:val="000000"/>
              </w:rPr>
              <w:t>14%</w:t>
            </w:r>
          </w:p>
        </w:tc>
      </w:tr>
      <w:tr w:rsidR="0085014C" w:rsidRPr="004A6D2C" w14:paraId="79B9BDB2" w14:textId="77777777" w:rsidTr="00FA1EFB">
        <w:trPr>
          <w:trHeight w:val="50"/>
        </w:trPr>
        <w:tc>
          <w:tcPr>
            <w:tcW w:w="3160" w:type="dxa"/>
            <w:tcBorders>
              <w:top w:val="nil"/>
              <w:left w:val="nil"/>
              <w:bottom w:val="single" w:sz="4" w:space="0" w:color="auto"/>
              <w:right w:val="nil"/>
            </w:tcBorders>
            <w:shd w:val="clear" w:color="auto" w:fill="1950A0"/>
            <w:vAlign w:val="center"/>
            <w:hideMark/>
          </w:tcPr>
          <w:p w14:paraId="5BD4155E" w14:textId="77777777" w:rsidR="0085014C" w:rsidRPr="00FA1EFB" w:rsidRDefault="0085014C" w:rsidP="0085014C">
            <w:pPr>
              <w:spacing w:after="0"/>
              <w:jc w:val="center"/>
              <w:rPr>
                <w:rFonts w:asciiTheme="majorHAnsi" w:hAnsiTheme="majorHAnsi"/>
                <w:b/>
                <w:color w:val="FFFFFF"/>
              </w:rPr>
            </w:pPr>
            <w:r w:rsidRPr="00FA1EFB">
              <w:rPr>
                <w:rFonts w:asciiTheme="majorHAnsi" w:hAnsiTheme="majorHAnsi"/>
                <w:b/>
                <w:color w:val="FFFFFF"/>
              </w:rPr>
              <w:t>Yorkshire &amp; North East</w:t>
            </w:r>
          </w:p>
        </w:tc>
        <w:tc>
          <w:tcPr>
            <w:tcW w:w="1660" w:type="dxa"/>
            <w:tcBorders>
              <w:top w:val="nil"/>
              <w:left w:val="nil"/>
              <w:bottom w:val="single" w:sz="4" w:space="0" w:color="auto"/>
              <w:right w:val="nil"/>
            </w:tcBorders>
            <w:vAlign w:val="center"/>
            <w:hideMark/>
          </w:tcPr>
          <w:p w14:paraId="72448EE3" w14:textId="77777777" w:rsidR="0085014C" w:rsidRPr="004A6D2C" w:rsidRDefault="0085014C" w:rsidP="0085014C">
            <w:pPr>
              <w:spacing w:after="0"/>
              <w:jc w:val="right"/>
              <w:rPr>
                <w:rFonts w:ascii="Modern Era" w:hAnsi="Modern Era"/>
                <w:color w:val="000000"/>
              </w:rPr>
            </w:pPr>
            <w:r w:rsidRPr="004A6D2C">
              <w:rPr>
                <w:rFonts w:ascii="Modern Era" w:hAnsi="Modern Era"/>
                <w:color w:val="000000"/>
              </w:rPr>
              <w:t xml:space="preserve">                   687 </w:t>
            </w:r>
          </w:p>
        </w:tc>
        <w:tc>
          <w:tcPr>
            <w:tcW w:w="1660" w:type="dxa"/>
            <w:tcBorders>
              <w:top w:val="nil"/>
              <w:left w:val="nil"/>
              <w:bottom w:val="single" w:sz="4" w:space="0" w:color="auto"/>
              <w:right w:val="nil"/>
            </w:tcBorders>
            <w:vAlign w:val="center"/>
            <w:hideMark/>
          </w:tcPr>
          <w:p w14:paraId="4B2A8F34" w14:textId="77777777" w:rsidR="0085014C" w:rsidRPr="004A6D2C" w:rsidRDefault="0085014C" w:rsidP="0085014C">
            <w:pPr>
              <w:spacing w:after="0"/>
              <w:jc w:val="right"/>
              <w:rPr>
                <w:rFonts w:ascii="Modern Era" w:hAnsi="Modern Era"/>
                <w:color w:val="000000"/>
              </w:rPr>
            </w:pPr>
            <w:r w:rsidRPr="004A6D2C">
              <w:rPr>
                <w:rFonts w:ascii="Modern Era" w:hAnsi="Modern Era"/>
                <w:color w:val="000000"/>
              </w:rPr>
              <w:t>13%</w:t>
            </w:r>
          </w:p>
        </w:tc>
        <w:tc>
          <w:tcPr>
            <w:tcW w:w="1660" w:type="dxa"/>
            <w:tcBorders>
              <w:top w:val="nil"/>
              <w:left w:val="nil"/>
              <w:bottom w:val="single" w:sz="4" w:space="0" w:color="auto"/>
              <w:right w:val="nil"/>
            </w:tcBorders>
            <w:vAlign w:val="center"/>
            <w:hideMark/>
          </w:tcPr>
          <w:p w14:paraId="3AC497BB" w14:textId="77777777" w:rsidR="0085014C" w:rsidRPr="004A6D2C" w:rsidRDefault="0085014C" w:rsidP="0085014C">
            <w:pPr>
              <w:spacing w:after="0"/>
              <w:jc w:val="right"/>
              <w:rPr>
                <w:rFonts w:ascii="Modern Era" w:hAnsi="Modern Era"/>
                <w:color w:val="000000"/>
              </w:rPr>
            </w:pPr>
            <w:r w:rsidRPr="004A6D2C">
              <w:rPr>
                <w:rFonts w:ascii="Modern Era" w:hAnsi="Modern Era"/>
                <w:color w:val="000000"/>
              </w:rPr>
              <w:t xml:space="preserve">                 1,306 </w:t>
            </w:r>
          </w:p>
        </w:tc>
        <w:tc>
          <w:tcPr>
            <w:tcW w:w="1660" w:type="dxa"/>
            <w:tcBorders>
              <w:top w:val="nil"/>
              <w:left w:val="nil"/>
              <w:bottom w:val="single" w:sz="4" w:space="0" w:color="auto"/>
              <w:right w:val="nil"/>
            </w:tcBorders>
            <w:vAlign w:val="center"/>
            <w:hideMark/>
          </w:tcPr>
          <w:p w14:paraId="22FDB29C" w14:textId="0D1114CB" w:rsidR="0085014C" w:rsidRPr="004A6D2C" w:rsidRDefault="0085014C" w:rsidP="0085014C">
            <w:pPr>
              <w:spacing w:after="0"/>
              <w:jc w:val="right"/>
              <w:rPr>
                <w:rFonts w:ascii="Modern Era" w:hAnsi="Modern Era"/>
                <w:color w:val="000000"/>
              </w:rPr>
            </w:pPr>
            <w:r>
              <w:rPr>
                <w:rFonts w:ascii="Modern Era" w:hAnsi="Modern Era"/>
                <w:color w:val="000000"/>
              </w:rPr>
              <w:t>13%</w:t>
            </w:r>
          </w:p>
        </w:tc>
      </w:tr>
    </w:tbl>
    <w:p w14:paraId="2E9C50E8" w14:textId="77777777" w:rsidR="004A6D2C" w:rsidRDefault="004A6D2C" w:rsidP="004345D4">
      <w:pPr>
        <w:rPr>
          <w:b/>
          <w:bCs/>
        </w:rPr>
      </w:pPr>
    </w:p>
    <w:p w14:paraId="25B75422" w14:textId="77777777" w:rsidR="001C2888" w:rsidRDefault="001C2888">
      <w:pPr>
        <w:rPr>
          <w:kern w:val="2"/>
          <w14:ligatures w14:val="standardContextual"/>
        </w:rPr>
      </w:pPr>
      <w:r>
        <w:rPr>
          <w:b/>
          <w:bCs/>
        </w:rPr>
        <w:t>Table 2: Regional breakdown of direct and aggregate employment (FTEs)</w:t>
      </w:r>
    </w:p>
    <w:tbl>
      <w:tblPr>
        <w:tblW w:w="9800" w:type="dxa"/>
        <w:tblLook w:val="04A0" w:firstRow="1" w:lastRow="0" w:firstColumn="1" w:lastColumn="0" w:noHBand="0" w:noVBand="1"/>
      </w:tblPr>
      <w:tblGrid>
        <w:gridCol w:w="3160"/>
        <w:gridCol w:w="1660"/>
        <w:gridCol w:w="1660"/>
        <w:gridCol w:w="1600"/>
        <w:gridCol w:w="1720"/>
      </w:tblGrid>
      <w:tr w:rsidR="004A6D2C" w:rsidRPr="004A6D2C" w14:paraId="7911BAF7" w14:textId="77777777" w:rsidTr="00FA1EFB">
        <w:trPr>
          <w:trHeight w:val="290"/>
        </w:trPr>
        <w:tc>
          <w:tcPr>
            <w:tcW w:w="3160" w:type="dxa"/>
            <w:tcBorders>
              <w:top w:val="nil"/>
              <w:left w:val="nil"/>
              <w:bottom w:val="single" w:sz="4" w:space="0" w:color="auto"/>
              <w:right w:val="nil"/>
            </w:tcBorders>
            <w:shd w:val="clear" w:color="auto" w:fill="1950A0"/>
            <w:vAlign w:val="center"/>
            <w:hideMark/>
          </w:tcPr>
          <w:p w14:paraId="1E278591" w14:textId="155B8289" w:rsidR="004A6D2C" w:rsidRPr="00FA1EFB" w:rsidRDefault="007A71B7" w:rsidP="004A6D2C">
            <w:pPr>
              <w:spacing w:after="0"/>
              <w:jc w:val="center"/>
              <w:rPr>
                <w:rFonts w:asciiTheme="majorHAnsi" w:hAnsiTheme="majorHAnsi"/>
                <w:b/>
                <w:color w:val="FFFFFF"/>
              </w:rPr>
            </w:pPr>
            <w:r>
              <w:rPr>
                <w:rFonts w:asciiTheme="majorHAnsi" w:hAnsiTheme="majorHAnsi"/>
                <w:b/>
                <w:color w:val="FFFFFF"/>
              </w:rPr>
              <w:t>Canal &amp; River Trust</w:t>
            </w:r>
            <w:r w:rsidR="004A6D2C" w:rsidRPr="00FA1EFB">
              <w:rPr>
                <w:rFonts w:asciiTheme="majorHAnsi" w:hAnsiTheme="majorHAnsi"/>
                <w:b/>
                <w:color w:val="FFFFFF"/>
              </w:rPr>
              <w:t xml:space="preserve"> region </w:t>
            </w:r>
          </w:p>
        </w:tc>
        <w:tc>
          <w:tcPr>
            <w:tcW w:w="1660" w:type="dxa"/>
            <w:tcBorders>
              <w:top w:val="nil"/>
              <w:left w:val="nil"/>
              <w:bottom w:val="single" w:sz="4" w:space="0" w:color="auto"/>
              <w:right w:val="nil"/>
            </w:tcBorders>
            <w:shd w:val="clear" w:color="auto" w:fill="1950A0"/>
            <w:vAlign w:val="center"/>
            <w:hideMark/>
          </w:tcPr>
          <w:p w14:paraId="6D3BDC4C" w14:textId="77777777" w:rsidR="004A6D2C" w:rsidRPr="00FA1EFB" w:rsidRDefault="004A6D2C" w:rsidP="004A6D2C">
            <w:pPr>
              <w:spacing w:after="0"/>
              <w:jc w:val="center"/>
              <w:rPr>
                <w:rFonts w:asciiTheme="majorHAnsi" w:hAnsiTheme="majorHAnsi"/>
                <w:b/>
                <w:color w:val="FFFFFF"/>
              </w:rPr>
            </w:pPr>
            <w:r w:rsidRPr="00FA1EFB">
              <w:rPr>
                <w:rFonts w:asciiTheme="majorHAnsi" w:hAnsiTheme="majorHAnsi"/>
                <w:b/>
                <w:color w:val="FFFFFF"/>
              </w:rPr>
              <w:t xml:space="preserve">Direct FTE </w:t>
            </w:r>
          </w:p>
        </w:tc>
        <w:tc>
          <w:tcPr>
            <w:tcW w:w="1660" w:type="dxa"/>
            <w:tcBorders>
              <w:top w:val="nil"/>
              <w:left w:val="nil"/>
              <w:bottom w:val="single" w:sz="4" w:space="0" w:color="auto"/>
              <w:right w:val="nil"/>
            </w:tcBorders>
            <w:shd w:val="clear" w:color="auto" w:fill="1950A0"/>
            <w:vAlign w:val="center"/>
            <w:hideMark/>
          </w:tcPr>
          <w:p w14:paraId="2C7F3A89" w14:textId="77777777" w:rsidR="004A6D2C" w:rsidRPr="00FA1EFB" w:rsidRDefault="004A6D2C" w:rsidP="004A6D2C">
            <w:pPr>
              <w:spacing w:after="0"/>
              <w:jc w:val="center"/>
              <w:rPr>
                <w:rFonts w:asciiTheme="majorHAnsi" w:hAnsiTheme="majorHAnsi"/>
                <w:b/>
                <w:color w:val="FFFFFF"/>
              </w:rPr>
            </w:pPr>
            <w:r w:rsidRPr="00FA1EFB">
              <w:rPr>
                <w:rFonts w:asciiTheme="majorHAnsi" w:hAnsiTheme="majorHAnsi"/>
                <w:b/>
                <w:color w:val="FFFFFF"/>
              </w:rPr>
              <w:t xml:space="preserve">Share of total </w:t>
            </w:r>
          </w:p>
        </w:tc>
        <w:tc>
          <w:tcPr>
            <w:tcW w:w="1600" w:type="dxa"/>
            <w:tcBorders>
              <w:top w:val="nil"/>
              <w:left w:val="nil"/>
              <w:bottom w:val="single" w:sz="4" w:space="0" w:color="auto"/>
              <w:right w:val="nil"/>
            </w:tcBorders>
            <w:shd w:val="clear" w:color="auto" w:fill="1950A0"/>
            <w:vAlign w:val="center"/>
            <w:hideMark/>
          </w:tcPr>
          <w:p w14:paraId="27F5550A" w14:textId="77777777" w:rsidR="004A6D2C" w:rsidRPr="00FA1EFB" w:rsidRDefault="004A6D2C" w:rsidP="004A6D2C">
            <w:pPr>
              <w:spacing w:after="0"/>
              <w:jc w:val="center"/>
              <w:rPr>
                <w:rFonts w:asciiTheme="majorHAnsi" w:hAnsiTheme="majorHAnsi"/>
                <w:b/>
                <w:color w:val="FFFFFF"/>
              </w:rPr>
            </w:pPr>
            <w:r w:rsidRPr="00FA1EFB">
              <w:rPr>
                <w:rFonts w:asciiTheme="majorHAnsi" w:hAnsiTheme="majorHAnsi"/>
                <w:b/>
                <w:color w:val="FFFFFF"/>
              </w:rPr>
              <w:t xml:space="preserve">Aggregate FTE </w:t>
            </w:r>
          </w:p>
        </w:tc>
        <w:tc>
          <w:tcPr>
            <w:tcW w:w="1720" w:type="dxa"/>
            <w:tcBorders>
              <w:top w:val="nil"/>
              <w:left w:val="nil"/>
              <w:bottom w:val="single" w:sz="4" w:space="0" w:color="auto"/>
              <w:right w:val="nil"/>
            </w:tcBorders>
            <w:shd w:val="clear" w:color="auto" w:fill="1950A0"/>
            <w:vAlign w:val="center"/>
            <w:hideMark/>
          </w:tcPr>
          <w:p w14:paraId="09CC2E1D" w14:textId="77777777" w:rsidR="004A6D2C" w:rsidRPr="00FA1EFB" w:rsidRDefault="004A6D2C" w:rsidP="004A6D2C">
            <w:pPr>
              <w:spacing w:after="0"/>
              <w:jc w:val="center"/>
              <w:rPr>
                <w:rFonts w:asciiTheme="majorHAnsi" w:hAnsiTheme="majorHAnsi"/>
                <w:b/>
                <w:color w:val="FFFFFF"/>
              </w:rPr>
            </w:pPr>
            <w:r w:rsidRPr="00FA1EFB">
              <w:rPr>
                <w:rFonts w:asciiTheme="majorHAnsi" w:hAnsiTheme="majorHAnsi"/>
                <w:b/>
                <w:color w:val="FFFFFF"/>
              </w:rPr>
              <w:t xml:space="preserve">Share of total </w:t>
            </w:r>
          </w:p>
        </w:tc>
      </w:tr>
      <w:tr w:rsidR="00FA0E42" w:rsidRPr="004A6D2C" w14:paraId="6A21DC04" w14:textId="77777777" w:rsidTr="00FA1EFB">
        <w:trPr>
          <w:trHeight w:val="290"/>
        </w:trPr>
        <w:tc>
          <w:tcPr>
            <w:tcW w:w="3160" w:type="dxa"/>
            <w:tcBorders>
              <w:top w:val="nil"/>
              <w:left w:val="nil"/>
              <w:bottom w:val="single" w:sz="4" w:space="0" w:color="auto"/>
              <w:right w:val="nil"/>
            </w:tcBorders>
            <w:shd w:val="clear" w:color="auto" w:fill="1950A0"/>
            <w:vAlign w:val="center"/>
            <w:hideMark/>
          </w:tcPr>
          <w:p w14:paraId="383E8AEB" w14:textId="77777777" w:rsidR="00FA0E42" w:rsidRPr="00FA1EFB" w:rsidRDefault="00FA0E42" w:rsidP="00FA0E42">
            <w:pPr>
              <w:spacing w:after="0"/>
              <w:jc w:val="center"/>
              <w:rPr>
                <w:rFonts w:asciiTheme="majorHAnsi" w:hAnsiTheme="majorHAnsi"/>
                <w:b/>
                <w:color w:val="FFFFFF"/>
              </w:rPr>
            </w:pPr>
            <w:r w:rsidRPr="00FA1EFB">
              <w:rPr>
                <w:rFonts w:asciiTheme="majorHAnsi" w:hAnsiTheme="majorHAnsi"/>
                <w:b/>
                <w:color w:val="FFFFFF"/>
              </w:rPr>
              <w:t>London &amp; South East</w:t>
            </w:r>
          </w:p>
        </w:tc>
        <w:tc>
          <w:tcPr>
            <w:tcW w:w="1660" w:type="dxa"/>
            <w:tcBorders>
              <w:top w:val="nil"/>
              <w:left w:val="nil"/>
              <w:bottom w:val="single" w:sz="4" w:space="0" w:color="auto"/>
              <w:right w:val="nil"/>
            </w:tcBorders>
            <w:vAlign w:val="center"/>
            <w:hideMark/>
          </w:tcPr>
          <w:p w14:paraId="52643682" w14:textId="77777777" w:rsidR="00FA0E42" w:rsidRPr="004A6D2C" w:rsidRDefault="00FA0E42" w:rsidP="00FA0E42">
            <w:pPr>
              <w:spacing w:after="0"/>
              <w:jc w:val="right"/>
              <w:rPr>
                <w:rFonts w:ascii="Modern Era" w:hAnsi="Modern Era"/>
                <w:color w:val="000000"/>
              </w:rPr>
            </w:pPr>
            <w:r w:rsidRPr="004A6D2C">
              <w:rPr>
                <w:rFonts w:ascii="Modern Era" w:hAnsi="Modern Era"/>
                <w:color w:val="000000"/>
              </w:rPr>
              <w:t xml:space="preserve">              49,000 </w:t>
            </w:r>
          </w:p>
        </w:tc>
        <w:tc>
          <w:tcPr>
            <w:tcW w:w="1660" w:type="dxa"/>
            <w:tcBorders>
              <w:top w:val="nil"/>
              <w:left w:val="nil"/>
              <w:bottom w:val="single" w:sz="4" w:space="0" w:color="auto"/>
              <w:right w:val="nil"/>
            </w:tcBorders>
            <w:vAlign w:val="center"/>
            <w:hideMark/>
          </w:tcPr>
          <w:p w14:paraId="698BEA99" w14:textId="77777777" w:rsidR="00FA0E42" w:rsidRPr="004A6D2C" w:rsidRDefault="00FA0E42" w:rsidP="00FA0E42">
            <w:pPr>
              <w:spacing w:after="0"/>
              <w:jc w:val="right"/>
              <w:rPr>
                <w:rFonts w:ascii="Modern Era" w:hAnsi="Modern Era"/>
                <w:color w:val="000000"/>
              </w:rPr>
            </w:pPr>
            <w:r w:rsidRPr="004A6D2C">
              <w:rPr>
                <w:rFonts w:ascii="Modern Era" w:hAnsi="Modern Era"/>
                <w:color w:val="000000"/>
              </w:rPr>
              <w:t>33%</w:t>
            </w:r>
          </w:p>
        </w:tc>
        <w:tc>
          <w:tcPr>
            <w:tcW w:w="1600" w:type="dxa"/>
            <w:tcBorders>
              <w:top w:val="nil"/>
              <w:left w:val="nil"/>
              <w:bottom w:val="single" w:sz="4" w:space="0" w:color="auto"/>
              <w:right w:val="nil"/>
            </w:tcBorders>
            <w:vAlign w:val="center"/>
            <w:hideMark/>
          </w:tcPr>
          <w:p w14:paraId="37B3D376" w14:textId="76B73DA2" w:rsidR="00FA0E42" w:rsidRPr="004A6D2C" w:rsidRDefault="00FA0E42" w:rsidP="00FA0E42">
            <w:pPr>
              <w:spacing w:after="0"/>
              <w:jc w:val="right"/>
              <w:rPr>
                <w:rFonts w:ascii="Modern Era" w:hAnsi="Modern Era"/>
                <w:color w:val="000000"/>
              </w:rPr>
            </w:pPr>
            <w:r w:rsidRPr="004A6D2C">
              <w:rPr>
                <w:rFonts w:ascii="Modern Era" w:hAnsi="Modern Era"/>
                <w:color w:val="000000"/>
              </w:rPr>
              <w:t xml:space="preserve">             69,500 </w:t>
            </w:r>
          </w:p>
        </w:tc>
        <w:tc>
          <w:tcPr>
            <w:tcW w:w="1720" w:type="dxa"/>
            <w:tcBorders>
              <w:top w:val="nil"/>
              <w:left w:val="nil"/>
              <w:bottom w:val="single" w:sz="4" w:space="0" w:color="auto"/>
              <w:right w:val="nil"/>
            </w:tcBorders>
            <w:vAlign w:val="center"/>
            <w:hideMark/>
          </w:tcPr>
          <w:p w14:paraId="08C43495" w14:textId="19125BE8" w:rsidR="00FA0E42" w:rsidRPr="004A6D2C" w:rsidRDefault="00FA0E42" w:rsidP="00FA0E42">
            <w:pPr>
              <w:spacing w:after="0"/>
              <w:jc w:val="right"/>
              <w:rPr>
                <w:rFonts w:ascii="Modern Era" w:hAnsi="Modern Era"/>
                <w:color w:val="000000"/>
              </w:rPr>
            </w:pPr>
            <w:r>
              <w:rPr>
                <w:rFonts w:ascii="Modern Era" w:hAnsi="Modern Era"/>
                <w:color w:val="000000"/>
              </w:rPr>
              <w:t>33%</w:t>
            </w:r>
          </w:p>
        </w:tc>
      </w:tr>
      <w:tr w:rsidR="00FA0E42" w:rsidRPr="004A6D2C" w14:paraId="033BDA42" w14:textId="77777777" w:rsidTr="00FA1EFB">
        <w:trPr>
          <w:trHeight w:val="298"/>
        </w:trPr>
        <w:tc>
          <w:tcPr>
            <w:tcW w:w="3160" w:type="dxa"/>
            <w:tcBorders>
              <w:top w:val="nil"/>
              <w:left w:val="nil"/>
              <w:bottom w:val="single" w:sz="4" w:space="0" w:color="auto"/>
              <w:right w:val="nil"/>
            </w:tcBorders>
            <w:shd w:val="clear" w:color="auto" w:fill="1950A0"/>
            <w:vAlign w:val="center"/>
            <w:hideMark/>
          </w:tcPr>
          <w:p w14:paraId="300285E2" w14:textId="77777777" w:rsidR="00FA0E42" w:rsidRPr="00FA1EFB" w:rsidRDefault="00FA0E42" w:rsidP="00FA0E42">
            <w:pPr>
              <w:spacing w:after="0"/>
              <w:jc w:val="center"/>
              <w:rPr>
                <w:rFonts w:asciiTheme="majorHAnsi" w:hAnsiTheme="majorHAnsi"/>
                <w:b/>
                <w:color w:val="FFFFFF"/>
              </w:rPr>
            </w:pPr>
            <w:r w:rsidRPr="00FA1EFB">
              <w:rPr>
                <w:rFonts w:asciiTheme="majorHAnsi" w:hAnsiTheme="majorHAnsi"/>
                <w:b/>
                <w:color w:val="FFFFFF"/>
              </w:rPr>
              <w:t>West Midlands</w:t>
            </w:r>
          </w:p>
        </w:tc>
        <w:tc>
          <w:tcPr>
            <w:tcW w:w="1660" w:type="dxa"/>
            <w:tcBorders>
              <w:top w:val="nil"/>
              <w:left w:val="nil"/>
              <w:bottom w:val="single" w:sz="4" w:space="0" w:color="auto"/>
              <w:right w:val="nil"/>
            </w:tcBorders>
            <w:vAlign w:val="center"/>
            <w:hideMark/>
          </w:tcPr>
          <w:p w14:paraId="6BD6EF50" w14:textId="15F4CABC" w:rsidR="00FA0E42" w:rsidRPr="004A6D2C" w:rsidRDefault="00FA0E42" w:rsidP="00FA0E42">
            <w:pPr>
              <w:spacing w:after="0"/>
              <w:jc w:val="right"/>
              <w:rPr>
                <w:rFonts w:ascii="Modern Era" w:hAnsi="Modern Era"/>
                <w:color w:val="000000"/>
              </w:rPr>
            </w:pPr>
            <w:r w:rsidRPr="004A6D2C">
              <w:rPr>
                <w:rFonts w:ascii="Modern Era" w:hAnsi="Modern Era"/>
                <w:color w:val="000000"/>
              </w:rPr>
              <w:t xml:space="preserve">20,800 </w:t>
            </w:r>
          </w:p>
        </w:tc>
        <w:tc>
          <w:tcPr>
            <w:tcW w:w="1660" w:type="dxa"/>
            <w:tcBorders>
              <w:top w:val="nil"/>
              <w:left w:val="nil"/>
              <w:bottom w:val="single" w:sz="4" w:space="0" w:color="auto"/>
              <w:right w:val="nil"/>
            </w:tcBorders>
            <w:vAlign w:val="center"/>
            <w:hideMark/>
          </w:tcPr>
          <w:p w14:paraId="2FA7C374" w14:textId="77777777" w:rsidR="00FA0E42" w:rsidRPr="004A6D2C" w:rsidRDefault="00FA0E42" w:rsidP="00FA0E42">
            <w:pPr>
              <w:spacing w:after="0"/>
              <w:jc w:val="right"/>
              <w:rPr>
                <w:rFonts w:ascii="Modern Era" w:hAnsi="Modern Era"/>
                <w:color w:val="000000"/>
              </w:rPr>
            </w:pPr>
            <w:r w:rsidRPr="004A6D2C">
              <w:rPr>
                <w:rFonts w:ascii="Modern Era" w:hAnsi="Modern Era"/>
                <w:color w:val="000000"/>
              </w:rPr>
              <w:t>14%</w:t>
            </w:r>
          </w:p>
        </w:tc>
        <w:tc>
          <w:tcPr>
            <w:tcW w:w="1600" w:type="dxa"/>
            <w:tcBorders>
              <w:top w:val="nil"/>
              <w:left w:val="nil"/>
              <w:bottom w:val="single" w:sz="4" w:space="0" w:color="auto"/>
              <w:right w:val="nil"/>
            </w:tcBorders>
            <w:vAlign w:val="center"/>
            <w:hideMark/>
          </w:tcPr>
          <w:p w14:paraId="5202087D" w14:textId="29AC6E43" w:rsidR="00FA0E42" w:rsidRPr="004A6D2C" w:rsidRDefault="00FA0E42" w:rsidP="00FA0E42">
            <w:pPr>
              <w:spacing w:after="0"/>
              <w:jc w:val="right"/>
              <w:rPr>
                <w:rFonts w:ascii="Modern Era" w:hAnsi="Modern Era"/>
                <w:color w:val="000000"/>
              </w:rPr>
            </w:pPr>
            <w:r w:rsidRPr="004A6D2C">
              <w:rPr>
                <w:rFonts w:ascii="Modern Era" w:hAnsi="Modern Era"/>
                <w:color w:val="000000"/>
              </w:rPr>
              <w:t xml:space="preserve">25,700 </w:t>
            </w:r>
          </w:p>
        </w:tc>
        <w:tc>
          <w:tcPr>
            <w:tcW w:w="1720" w:type="dxa"/>
            <w:tcBorders>
              <w:top w:val="nil"/>
              <w:left w:val="nil"/>
              <w:bottom w:val="single" w:sz="4" w:space="0" w:color="auto"/>
              <w:right w:val="nil"/>
            </w:tcBorders>
            <w:vAlign w:val="center"/>
            <w:hideMark/>
          </w:tcPr>
          <w:p w14:paraId="330C8AF6" w14:textId="27AD9D88" w:rsidR="00FA0E42" w:rsidRPr="004A6D2C" w:rsidRDefault="00FA0E42" w:rsidP="00FA0E42">
            <w:pPr>
              <w:spacing w:after="0"/>
              <w:jc w:val="right"/>
              <w:rPr>
                <w:rFonts w:ascii="Modern Era" w:hAnsi="Modern Era"/>
                <w:color w:val="000000"/>
              </w:rPr>
            </w:pPr>
            <w:r>
              <w:rPr>
                <w:rFonts w:ascii="Modern Era" w:hAnsi="Modern Era"/>
                <w:color w:val="000000"/>
              </w:rPr>
              <w:t>12%</w:t>
            </w:r>
          </w:p>
        </w:tc>
      </w:tr>
      <w:tr w:rsidR="00FA0E42" w:rsidRPr="004A6D2C" w14:paraId="6155FEE8" w14:textId="77777777" w:rsidTr="00FA1EFB">
        <w:trPr>
          <w:trHeight w:val="395"/>
        </w:trPr>
        <w:tc>
          <w:tcPr>
            <w:tcW w:w="3160" w:type="dxa"/>
            <w:tcBorders>
              <w:top w:val="nil"/>
              <w:left w:val="nil"/>
              <w:bottom w:val="single" w:sz="4" w:space="0" w:color="auto"/>
              <w:right w:val="nil"/>
            </w:tcBorders>
            <w:shd w:val="clear" w:color="auto" w:fill="1950A0"/>
            <w:vAlign w:val="center"/>
            <w:hideMark/>
          </w:tcPr>
          <w:p w14:paraId="2A30D61E" w14:textId="77777777" w:rsidR="00FA0E42" w:rsidRPr="00FA1EFB" w:rsidRDefault="00FA0E42" w:rsidP="00FA0E42">
            <w:pPr>
              <w:spacing w:after="0"/>
              <w:jc w:val="center"/>
              <w:rPr>
                <w:rFonts w:asciiTheme="majorHAnsi" w:hAnsiTheme="majorHAnsi"/>
                <w:b/>
                <w:color w:val="FFFFFF"/>
              </w:rPr>
            </w:pPr>
            <w:r w:rsidRPr="00FA1EFB">
              <w:rPr>
                <w:rFonts w:asciiTheme="majorHAnsi" w:hAnsiTheme="majorHAnsi"/>
                <w:b/>
                <w:color w:val="FFFFFF"/>
              </w:rPr>
              <w:t>North West</w:t>
            </w:r>
          </w:p>
        </w:tc>
        <w:tc>
          <w:tcPr>
            <w:tcW w:w="1660" w:type="dxa"/>
            <w:tcBorders>
              <w:top w:val="nil"/>
              <w:left w:val="nil"/>
              <w:bottom w:val="single" w:sz="4" w:space="0" w:color="auto"/>
              <w:right w:val="nil"/>
            </w:tcBorders>
            <w:vAlign w:val="center"/>
            <w:hideMark/>
          </w:tcPr>
          <w:p w14:paraId="2E9302F6" w14:textId="77777777" w:rsidR="00FA0E42" w:rsidRPr="004A6D2C" w:rsidRDefault="00FA0E42" w:rsidP="00FA0E42">
            <w:pPr>
              <w:spacing w:after="0"/>
              <w:jc w:val="right"/>
              <w:rPr>
                <w:rFonts w:ascii="Modern Era" w:hAnsi="Modern Era"/>
                <w:color w:val="000000"/>
              </w:rPr>
            </w:pPr>
            <w:r w:rsidRPr="004A6D2C">
              <w:rPr>
                <w:rFonts w:ascii="Modern Era" w:hAnsi="Modern Era"/>
                <w:color w:val="000000"/>
              </w:rPr>
              <w:t xml:space="preserve">              20,500 </w:t>
            </w:r>
          </w:p>
        </w:tc>
        <w:tc>
          <w:tcPr>
            <w:tcW w:w="1660" w:type="dxa"/>
            <w:tcBorders>
              <w:top w:val="nil"/>
              <w:left w:val="nil"/>
              <w:bottom w:val="single" w:sz="4" w:space="0" w:color="auto"/>
              <w:right w:val="nil"/>
            </w:tcBorders>
            <w:vAlign w:val="center"/>
            <w:hideMark/>
          </w:tcPr>
          <w:p w14:paraId="58E55B7A" w14:textId="77777777" w:rsidR="00FA0E42" w:rsidRPr="004A6D2C" w:rsidRDefault="00FA0E42" w:rsidP="00FA0E42">
            <w:pPr>
              <w:spacing w:after="0"/>
              <w:jc w:val="right"/>
              <w:rPr>
                <w:rFonts w:ascii="Modern Era" w:hAnsi="Modern Era"/>
                <w:color w:val="000000"/>
              </w:rPr>
            </w:pPr>
            <w:r w:rsidRPr="004A6D2C">
              <w:rPr>
                <w:rFonts w:ascii="Modern Era" w:hAnsi="Modern Era"/>
                <w:color w:val="000000"/>
              </w:rPr>
              <w:t>14%</w:t>
            </w:r>
          </w:p>
        </w:tc>
        <w:tc>
          <w:tcPr>
            <w:tcW w:w="1600" w:type="dxa"/>
            <w:tcBorders>
              <w:top w:val="nil"/>
              <w:left w:val="nil"/>
              <w:bottom w:val="single" w:sz="4" w:space="0" w:color="auto"/>
              <w:right w:val="nil"/>
            </w:tcBorders>
            <w:vAlign w:val="center"/>
            <w:hideMark/>
          </w:tcPr>
          <w:p w14:paraId="71F3356D" w14:textId="5428D854" w:rsidR="00FA0E42" w:rsidRPr="004A6D2C" w:rsidRDefault="00FA0E42" w:rsidP="00FA0E42">
            <w:pPr>
              <w:spacing w:after="0"/>
              <w:jc w:val="right"/>
              <w:rPr>
                <w:rFonts w:ascii="Modern Era" w:hAnsi="Modern Era"/>
                <w:color w:val="000000"/>
              </w:rPr>
            </w:pPr>
            <w:r w:rsidRPr="004A6D2C">
              <w:rPr>
                <w:rFonts w:ascii="Modern Era" w:hAnsi="Modern Era"/>
                <w:color w:val="000000"/>
              </w:rPr>
              <w:t xml:space="preserve">28,100 </w:t>
            </w:r>
          </w:p>
        </w:tc>
        <w:tc>
          <w:tcPr>
            <w:tcW w:w="1720" w:type="dxa"/>
            <w:tcBorders>
              <w:top w:val="nil"/>
              <w:left w:val="nil"/>
              <w:bottom w:val="single" w:sz="4" w:space="0" w:color="auto"/>
              <w:right w:val="nil"/>
            </w:tcBorders>
            <w:vAlign w:val="center"/>
            <w:hideMark/>
          </w:tcPr>
          <w:p w14:paraId="1A559C33" w14:textId="58F39B49" w:rsidR="00FA0E42" w:rsidRPr="004A6D2C" w:rsidRDefault="00FA0E42" w:rsidP="00FA0E42">
            <w:pPr>
              <w:spacing w:after="0"/>
              <w:jc w:val="right"/>
              <w:rPr>
                <w:rFonts w:ascii="Modern Era" w:hAnsi="Modern Era"/>
                <w:color w:val="000000"/>
              </w:rPr>
            </w:pPr>
            <w:r>
              <w:rPr>
                <w:rFonts w:ascii="Modern Era" w:hAnsi="Modern Era"/>
                <w:color w:val="000000"/>
              </w:rPr>
              <w:t>14%</w:t>
            </w:r>
          </w:p>
        </w:tc>
      </w:tr>
      <w:tr w:rsidR="00FA0E42" w:rsidRPr="004A6D2C" w14:paraId="3F7C31D7" w14:textId="77777777" w:rsidTr="00FA1EFB">
        <w:trPr>
          <w:trHeight w:val="290"/>
        </w:trPr>
        <w:tc>
          <w:tcPr>
            <w:tcW w:w="3160" w:type="dxa"/>
            <w:tcBorders>
              <w:top w:val="nil"/>
              <w:left w:val="nil"/>
              <w:bottom w:val="single" w:sz="4" w:space="0" w:color="auto"/>
              <w:right w:val="nil"/>
            </w:tcBorders>
            <w:shd w:val="clear" w:color="auto" w:fill="1950A0"/>
            <w:vAlign w:val="center"/>
            <w:hideMark/>
          </w:tcPr>
          <w:p w14:paraId="3B20F4D4" w14:textId="77777777" w:rsidR="00FA0E42" w:rsidRPr="00FA1EFB" w:rsidRDefault="00FA0E42" w:rsidP="00FA0E42">
            <w:pPr>
              <w:spacing w:after="0"/>
              <w:jc w:val="center"/>
              <w:rPr>
                <w:rFonts w:asciiTheme="majorHAnsi" w:hAnsiTheme="majorHAnsi"/>
                <w:b/>
                <w:color w:val="FFFFFF"/>
              </w:rPr>
            </w:pPr>
            <w:r w:rsidRPr="00FA1EFB">
              <w:rPr>
                <w:rFonts w:asciiTheme="majorHAnsi" w:hAnsiTheme="majorHAnsi"/>
                <w:b/>
                <w:color w:val="FFFFFF"/>
              </w:rPr>
              <w:t>Wales &amp; South West</w:t>
            </w:r>
          </w:p>
        </w:tc>
        <w:tc>
          <w:tcPr>
            <w:tcW w:w="1660" w:type="dxa"/>
            <w:tcBorders>
              <w:top w:val="nil"/>
              <w:left w:val="nil"/>
              <w:bottom w:val="single" w:sz="4" w:space="0" w:color="auto"/>
              <w:right w:val="nil"/>
            </w:tcBorders>
            <w:vAlign w:val="center"/>
            <w:hideMark/>
          </w:tcPr>
          <w:p w14:paraId="7A5D4E17" w14:textId="77777777" w:rsidR="00FA0E42" w:rsidRPr="004A6D2C" w:rsidRDefault="00FA0E42" w:rsidP="00FA0E42">
            <w:pPr>
              <w:spacing w:after="0"/>
              <w:jc w:val="right"/>
              <w:rPr>
                <w:rFonts w:ascii="Modern Era" w:hAnsi="Modern Era"/>
                <w:color w:val="000000"/>
              </w:rPr>
            </w:pPr>
            <w:r w:rsidRPr="004A6D2C">
              <w:rPr>
                <w:rFonts w:ascii="Modern Era" w:hAnsi="Modern Era"/>
                <w:color w:val="000000"/>
              </w:rPr>
              <w:t xml:space="preserve">              23,300 </w:t>
            </w:r>
          </w:p>
        </w:tc>
        <w:tc>
          <w:tcPr>
            <w:tcW w:w="1660" w:type="dxa"/>
            <w:tcBorders>
              <w:top w:val="nil"/>
              <w:left w:val="nil"/>
              <w:bottom w:val="single" w:sz="4" w:space="0" w:color="auto"/>
              <w:right w:val="nil"/>
            </w:tcBorders>
            <w:vAlign w:val="center"/>
            <w:hideMark/>
          </w:tcPr>
          <w:p w14:paraId="6889C9D4" w14:textId="77777777" w:rsidR="00FA0E42" w:rsidRPr="004A6D2C" w:rsidRDefault="00FA0E42" w:rsidP="00FA0E42">
            <w:pPr>
              <w:spacing w:after="0"/>
              <w:jc w:val="right"/>
              <w:rPr>
                <w:rFonts w:ascii="Modern Era" w:hAnsi="Modern Era"/>
                <w:color w:val="000000"/>
              </w:rPr>
            </w:pPr>
            <w:r w:rsidRPr="004A6D2C">
              <w:rPr>
                <w:rFonts w:ascii="Modern Era" w:hAnsi="Modern Era"/>
                <w:color w:val="000000"/>
              </w:rPr>
              <w:t>16%</w:t>
            </w:r>
          </w:p>
        </w:tc>
        <w:tc>
          <w:tcPr>
            <w:tcW w:w="1600" w:type="dxa"/>
            <w:tcBorders>
              <w:top w:val="nil"/>
              <w:left w:val="nil"/>
              <w:bottom w:val="single" w:sz="4" w:space="0" w:color="auto"/>
              <w:right w:val="nil"/>
            </w:tcBorders>
            <w:vAlign w:val="center"/>
            <w:hideMark/>
          </w:tcPr>
          <w:p w14:paraId="0910C56D" w14:textId="4E4735EE" w:rsidR="00FA0E42" w:rsidRPr="004A6D2C" w:rsidRDefault="00FA0E42" w:rsidP="00FA0E42">
            <w:pPr>
              <w:spacing w:after="0"/>
              <w:jc w:val="right"/>
              <w:rPr>
                <w:rFonts w:ascii="Modern Era" w:hAnsi="Modern Era"/>
                <w:color w:val="000000"/>
              </w:rPr>
            </w:pPr>
            <w:r w:rsidRPr="004A6D2C">
              <w:rPr>
                <w:rFonts w:ascii="Modern Era" w:hAnsi="Modern Era"/>
                <w:color w:val="000000"/>
              </w:rPr>
              <w:t xml:space="preserve">33,200 </w:t>
            </w:r>
          </w:p>
        </w:tc>
        <w:tc>
          <w:tcPr>
            <w:tcW w:w="1720" w:type="dxa"/>
            <w:tcBorders>
              <w:top w:val="nil"/>
              <w:left w:val="nil"/>
              <w:bottom w:val="single" w:sz="4" w:space="0" w:color="auto"/>
              <w:right w:val="nil"/>
            </w:tcBorders>
            <w:vAlign w:val="center"/>
            <w:hideMark/>
          </w:tcPr>
          <w:p w14:paraId="6372A04A" w14:textId="5348CF3E" w:rsidR="00FA0E42" w:rsidRPr="004A6D2C" w:rsidRDefault="00FA0E42" w:rsidP="00FA0E42">
            <w:pPr>
              <w:spacing w:after="0"/>
              <w:jc w:val="right"/>
              <w:rPr>
                <w:rFonts w:ascii="Modern Era" w:hAnsi="Modern Era"/>
                <w:color w:val="000000"/>
              </w:rPr>
            </w:pPr>
            <w:r>
              <w:rPr>
                <w:rFonts w:ascii="Modern Era" w:hAnsi="Modern Era"/>
                <w:color w:val="000000"/>
              </w:rPr>
              <w:t>16%</w:t>
            </w:r>
          </w:p>
        </w:tc>
      </w:tr>
      <w:tr w:rsidR="00FA0E42" w:rsidRPr="004A6D2C" w14:paraId="4A77BE95" w14:textId="77777777" w:rsidTr="00FA1EFB">
        <w:trPr>
          <w:trHeight w:val="290"/>
        </w:trPr>
        <w:tc>
          <w:tcPr>
            <w:tcW w:w="3160" w:type="dxa"/>
            <w:tcBorders>
              <w:top w:val="nil"/>
              <w:left w:val="nil"/>
              <w:bottom w:val="single" w:sz="4" w:space="0" w:color="auto"/>
              <w:right w:val="nil"/>
            </w:tcBorders>
            <w:shd w:val="clear" w:color="auto" w:fill="1950A0"/>
            <w:vAlign w:val="center"/>
            <w:hideMark/>
          </w:tcPr>
          <w:p w14:paraId="1A90E1B8" w14:textId="3E613201" w:rsidR="00FA0E42" w:rsidRPr="00FA1EFB" w:rsidRDefault="00FA0E42" w:rsidP="00FA0E42">
            <w:pPr>
              <w:spacing w:after="0"/>
              <w:jc w:val="center"/>
              <w:rPr>
                <w:rFonts w:asciiTheme="majorHAnsi" w:hAnsiTheme="majorHAnsi"/>
                <w:b/>
                <w:color w:val="FFFFFF"/>
              </w:rPr>
            </w:pPr>
            <w:r w:rsidRPr="00FA1EFB">
              <w:rPr>
                <w:rFonts w:asciiTheme="majorHAnsi" w:hAnsiTheme="majorHAnsi"/>
                <w:b/>
                <w:color w:val="FFFFFF"/>
              </w:rPr>
              <w:t>East Midlands</w:t>
            </w:r>
          </w:p>
        </w:tc>
        <w:tc>
          <w:tcPr>
            <w:tcW w:w="1660" w:type="dxa"/>
            <w:tcBorders>
              <w:top w:val="nil"/>
              <w:left w:val="nil"/>
              <w:bottom w:val="single" w:sz="4" w:space="0" w:color="auto"/>
              <w:right w:val="nil"/>
            </w:tcBorders>
            <w:vAlign w:val="center"/>
            <w:hideMark/>
          </w:tcPr>
          <w:p w14:paraId="433016CD" w14:textId="77777777" w:rsidR="00FA0E42" w:rsidRPr="004A6D2C" w:rsidRDefault="00FA0E42" w:rsidP="00FA0E42">
            <w:pPr>
              <w:spacing w:after="0"/>
              <w:jc w:val="right"/>
              <w:rPr>
                <w:rFonts w:ascii="Modern Era" w:hAnsi="Modern Era"/>
                <w:color w:val="000000"/>
              </w:rPr>
            </w:pPr>
            <w:r w:rsidRPr="004A6D2C">
              <w:rPr>
                <w:rFonts w:ascii="Modern Era" w:hAnsi="Modern Era"/>
                <w:color w:val="000000"/>
              </w:rPr>
              <w:t xml:space="preserve">               18,000 </w:t>
            </w:r>
          </w:p>
        </w:tc>
        <w:tc>
          <w:tcPr>
            <w:tcW w:w="1660" w:type="dxa"/>
            <w:tcBorders>
              <w:top w:val="nil"/>
              <w:left w:val="nil"/>
              <w:bottom w:val="single" w:sz="4" w:space="0" w:color="auto"/>
              <w:right w:val="nil"/>
            </w:tcBorders>
            <w:vAlign w:val="center"/>
            <w:hideMark/>
          </w:tcPr>
          <w:p w14:paraId="26E790D7" w14:textId="77777777" w:rsidR="00FA0E42" w:rsidRPr="004A6D2C" w:rsidRDefault="00FA0E42" w:rsidP="00FA0E42">
            <w:pPr>
              <w:spacing w:after="0"/>
              <w:jc w:val="right"/>
              <w:rPr>
                <w:rFonts w:ascii="Modern Era" w:hAnsi="Modern Era"/>
                <w:color w:val="000000"/>
              </w:rPr>
            </w:pPr>
            <w:r w:rsidRPr="004A6D2C">
              <w:rPr>
                <w:rFonts w:ascii="Modern Era" w:hAnsi="Modern Era"/>
                <w:color w:val="000000"/>
              </w:rPr>
              <w:t>12%</w:t>
            </w:r>
          </w:p>
        </w:tc>
        <w:tc>
          <w:tcPr>
            <w:tcW w:w="1600" w:type="dxa"/>
            <w:tcBorders>
              <w:top w:val="nil"/>
              <w:left w:val="nil"/>
              <w:bottom w:val="single" w:sz="4" w:space="0" w:color="auto"/>
              <w:right w:val="nil"/>
            </w:tcBorders>
            <w:vAlign w:val="center"/>
            <w:hideMark/>
          </w:tcPr>
          <w:p w14:paraId="1CAC3DD5" w14:textId="468BEB63" w:rsidR="00FA0E42" w:rsidRPr="004A6D2C" w:rsidRDefault="00FA0E42" w:rsidP="00FA0E42">
            <w:pPr>
              <w:spacing w:after="0"/>
              <w:jc w:val="right"/>
              <w:rPr>
                <w:rFonts w:ascii="Modern Era" w:hAnsi="Modern Era"/>
                <w:color w:val="000000"/>
              </w:rPr>
            </w:pPr>
            <w:r w:rsidRPr="004A6D2C">
              <w:rPr>
                <w:rFonts w:ascii="Modern Era" w:hAnsi="Modern Era"/>
                <w:color w:val="000000"/>
              </w:rPr>
              <w:t xml:space="preserve">25,900 </w:t>
            </w:r>
          </w:p>
        </w:tc>
        <w:tc>
          <w:tcPr>
            <w:tcW w:w="1720" w:type="dxa"/>
            <w:tcBorders>
              <w:top w:val="nil"/>
              <w:left w:val="nil"/>
              <w:bottom w:val="single" w:sz="4" w:space="0" w:color="auto"/>
              <w:right w:val="nil"/>
            </w:tcBorders>
            <w:vAlign w:val="center"/>
            <w:hideMark/>
          </w:tcPr>
          <w:p w14:paraId="16CCD0EC" w14:textId="55862DE6" w:rsidR="00FA0E42" w:rsidRPr="004A6D2C" w:rsidRDefault="00FA0E42" w:rsidP="00FA0E42">
            <w:pPr>
              <w:spacing w:after="0"/>
              <w:jc w:val="right"/>
              <w:rPr>
                <w:rFonts w:ascii="Modern Era" w:hAnsi="Modern Era"/>
                <w:color w:val="000000"/>
              </w:rPr>
            </w:pPr>
            <w:r>
              <w:rPr>
                <w:rFonts w:ascii="Modern Era" w:hAnsi="Modern Era"/>
                <w:color w:val="000000"/>
              </w:rPr>
              <w:t>12%</w:t>
            </w:r>
          </w:p>
        </w:tc>
      </w:tr>
      <w:tr w:rsidR="00FA0E42" w:rsidRPr="004A6D2C" w14:paraId="689E3344" w14:textId="77777777" w:rsidTr="00FA1EFB">
        <w:trPr>
          <w:trHeight w:val="290"/>
        </w:trPr>
        <w:tc>
          <w:tcPr>
            <w:tcW w:w="3160" w:type="dxa"/>
            <w:tcBorders>
              <w:top w:val="nil"/>
              <w:left w:val="nil"/>
              <w:bottom w:val="single" w:sz="4" w:space="0" w:color="auto"/>
              <w:right w:val="nil"/>
            </w:tcBorders>
            <w:shd w:val="clear" w:color="auto" w:fill="1950A0"/>
            <w:vAlign w:val="center"/>
            <w:hideMark/>
          </w:tcPr>
          <w:p w14:paraId="6ED73397" w14:textId="77777777" w:rsidR="00FA0E42" w:rsidRPr="00FA1EFB" w:rsidRDefault="00FA0E42" w:rsidP="00FA0E42">
            <w:pPr>
              <w:spacing w:after="0"/>
              <w:jc w:val="center"/>
              <w:rPr>
                <w:rFonts w:asciiTheme="majorHAnsi" w:hAnsiTheme="majorHAnsi"/>
                <w:b/>
                <w:color w:val="FFFFFF"/>
              </w:rPr>
            </w:pPr>
            <w:r w:rsidRPr="00FA1EFB">
              <w:rPr>
                <w:rFonts w:asciiTheme="majorHAnsi" w:hAnsiTheme="majorHAnsi"/>
                <w:b/>
                <w:color w:val="FFFFFF"/>
              </w:rPr>
              <w:t>Yorkshire &amp; North East</w:t>
            </w:r>
          </w:p>
        </w:tc>
        <w:tc>
          <w:tcPr>
            <w:tcW w:w="1660" w:type="dxa"/>
            <w:tcBorders>
              <w:top w:val="nil"/>
              <w:left w:val="nil"/>
              <w:bottom w:val="single" w:sz="4" w:space="0" w:color="auto"/>
              <w:right w:val="nil"/>
            </w:tcBorders>
            <w:vAlign w:val="center"/>
            <w:hideMark/>
          </w:tcPr>
          <w:p w14:paraId="50E32369" w14:textId="7DFEE60A" w:rsidR="00FA0E42" w:rsidRPr="004A6D2C" w:rsidRDefault="00FA0E42" w:rsidP="00FA0E42">
            <w:pPr>
              <w:spacing w:after="0"/>
              <w:jc w:val="right"/>
              <w:rPr>
                <w:rFonts w:ascii="Modern Era" w:hAnsi="Modern Era"/>
                <w:color w:val="000000"/>
              </w:rPr>
            </w:pPr>
            <w:r w:rsidRPr="004A6D2C">
              <w:rPr>
                <w:rFonts w:ascii="Modern Era" w:hAnsi="Modern Era"/>
                <w:color w:val="000000"/>
              </w:rPr>
              <w:t xml:space="preserve">               18,700 </w:t>
            </w:r>
          </w:p>
        </w:tc>
        <w:tc>
          <w:tcPr>
            <w:tcW w:w="1660" w:type="dxa"/>
            <w:tcBorders>
              <w:top w:val="nil"/>
              <w:left w:val="nil"/>
              <w:bottom w:val="single" w:sz="4" w:space="0" w:color="auto"/>
              <w:right w:val="nil"/>
            </w:tcBorders>
            <w:vAlign w:val="center"/>
            <w:hideMark/>
          </w:tcPr>
          <w:p w14:paraId="34D26137" w14:textId="77777777" w:rsidR="00FA0E42" w:rsidRPr="004A6D2C" w:rsidRDefault="00FA0E42" w:rsidP="00FA0E42">
            <w:pPr>
              <w:spacing w:after="0"/>
              <w:jc w:val="right"/>
              <w:rPr>
                <w:rFonts w:ascii="Modern Era" w:hAnsi="Modern Era"/>
                <w:color w:val="000000"/>
              </w:rPr>
            </w:pPr>
            <w:r w:rsidRPr="004A6D2C">
              <w:rPr>
                <w:rFonts w:ascii="Modern Era" w:hAnsi="Modern Era"/>
                <w:color w:val="000000"/>
              </w:rPr>
              <w:t>12%</w:t>
            </w:r>
          </w:p>
        </w:tc>
        <w:tc>
          <w:tcPr>
            <w:tcW w:w="1600" w:type="dxa"/>
            <w:tcBorders>
              <w:top w:val="nil"/>
              <w:left w:val="nil"/>
              <w:bottom w:val="single" w:sz="4" w:space="0" w:color="auto"/>
              <w:right w:val="nil"/>
            </w:tcBorders>
            <w:vAlign w:val="center"/>
            <w:hideMark/>
          </w:tcPr>
          <w:p w14:paraId="05E84E4E" w14:textId="1306E6EC" w:rsidR="00FA0E42" w:rsidRPr="004A6D2C" w:rsidRDefault="00FA0E42" w:rsidP="00FA0E42">
            <w:pPr>
              <w:spacing w:after="0"/>
              <w:jc w:val="right"/>
              <w:rPr>
                <w:rFonts w:ascii="Modern Era" w:hAnsi="Modern Era"/>
                <w:color w:val="000000"/>
              </w:rPr>
            </w:pPr>
            <w:r w:rsidRPr="004A6D2C">
              <w:rPr>
                <w:rFonts w:ascii="Modern Era" w:hAnsi="Modern Era"/>
                <w:color w:val="000000"/>
              </w:rPr>
              <w:t xml:space="preserve">25,600 </w:t>
            </w:r>
          </w:p>
        </w:tc>
        <w:tc>
          <w:tcPr>
            <w:tcW w:w="1720" w:type="dxa"/>
            <w:tcBorders>
              <w:top w:val="nil"/>
              <w:left w:val="nil"/>
              <w:bottom w:val="single" w:sz="4" w:space="0" w:color="auto"/>
              <w:right w:val="nil"/>
            </w:tcBorders>
            <w:vAlign w:val="center"/>
            <w:hideMark/>
          </w:tcPr>
          <w:p w14:paraId="3C10B936" w14:textId="4BB66169" w:rsidR="00FA0E42" w:rsidRPr="004A6D2C" w:rsidRDefault="00FA0E42" w:rsidP="00FA0E42">
            <w:pPr>
              <w:spacing w:after="0"/>
              <w:jc w:val="right"/>
              <w:rPr>
                <w:rFonts w:ascii="Modern Era" w:hAnsi="Modern Era"/>
                <w:color w:val="000000"/>
              </w:rPr>
            </w:pPr>
            <w:r>
              <w:rPr>
                <w:rFonts w:ascii="Modern Era" w:hAnsi="Modern Era"/>
                <w:color w:val="000000"/>
              </w:rPr>
              <w:t>12%</w:t>
            </w:r>
          </w:p>
        </w:tc>
      </w:tr>
    </w:tbl>
    <w:p w14:paraId="3638833D" w14:textId="77777777" w:rsidR="00576996" w:rsidRDefault="00576996" w:rsidP="004A6D2C"/>
    <w:p w14:paraId="2EF3C5B3" w14:textId="5DEB563D" w:rsidR="000B515C" w:rsidRDefault="000B515C" w:rsidP="00A35AA1">
      <w:pPr>
        <w:pStyle w:val="Heading1"/>
      </w:pPr>
      <w:r>
        <w:t>International Tourism</w:t>
      </w:r>
      <w:r w:rsidR="00BC4A9B">
        <w:t xml:space="preserve"> on the </w:t>
      </w:r>
      <w:r w:rsidR="001848D8">
        <w:t>T</w:t>
      </w:r>
      <w:r w:rsidR="00BC4A9B">
        <w:t>owpath</w:t>
      </w:r>
    </w:p>
    <w:p w14:paraId="7244E29B" w14:textId="179D472C" w:rsidR="00F067A9" w:rsidRPr="00F067A9" w:rsidRDefault="00F067A9" w:rsidP="00B429D5">
      <w:pPr>
        <w:jc w:val="both"/>
      </w:pPr>
      <w:r w:rsidRPr="00F067A9">
        <w:t xml:space="preserve">International visitors make a meaningful contribution to towpath use across the network. In 2022, they made an estimated 10.5 million visits to </w:t>
      </w:r>
      <w:r w:rsidR="00C3126A">
        <w:t>Canal &amp; River Trust</w:t>
      </w:r>
      <w:r w:rsidRPr="00F067A9">
        <w:noBreakHyphen/>
        <w:t>managed waterways in England and Wales</w:t>
      </w:r>
      <w:r w:rsidR="00A24CE5">
        <w:t>.</w:t>
      </w:r>
      <w:r w:rsidRPr="00F067A9">
        <w:t xml:space="preserve"> </w:t>
      </w:r>
    </w:p>
    <w:p w14:paraId="57B657A8" w14:textId="17FD8152" w:rsidR="00F067A9" w:rsidRPr="00F067A9" w:rsidRDefault="00F067A9" w:rsidP="00B429D5">
      <w:pPr>
        <w:jc w:val="both"/>
      </w:pPr>
      <w:r w:rsidRPr="00F067A9">
        <w:t>These visits originate from a wide range of countries. Visitors from the United States represent the largest group (</w:t>
      </w:r>
      <w:r w:rsidR="002128D9">
        <w:t>22.5</w:t>
      </w:r>
      <w:r w:rsidRPr="00F067A9">
        <w:t>%), followed by Australia (16</w:t>
      </w:r>
      <w:r w:rsidR="005141FA">
        <w:t>.3</w:t>
      </w:r>
      <w:r w:rsidRPr="00F067A9">
        <w:t>%), Canada (</w:t>
      </w:r>
      <w:r w:rsidR="005141FA">
        <w:t>7.7</w:t>
      </w:r>
      <w:r w:rsidRPr="00F067A9">
        <w:t>%), Spain (</w:t>
      </w:r>
      <w:r w:rsidR="005141FA">
        <w:t>4.6</w:t>
      </w:r>
      <w:r w:rsidRPr="00F067A9">
        <w:t>%) and New Zealand (4</w:t>
      </w:r>
      <w:r w:rsidR="0077597C">
        <w:t>.2</w:t>
      </w:r>
      <w:r w:rsidRPr="00F067A9">
        <w:t xml:space="preserve">%), reflecting the global appeal of the UK’s canal network and its role as part of wider tourism itineraries. </w:t>
      </w:r>
    </w:p>
    <w:p w14:paraId="6C34F9EF" w14:textId="77777777" w:rsidR="00FB1A76" w:rsidRDefault="00FB1A76">
      <w:pPr>
        <w:jc w:val="both"/>
        <w:rPr>
          <w:kern w:val="2"/>
          <w14:ligatures w14:val="standardContextual"/>
        </w:rPr>
      </w:pPr>
      <w:r>
        <w:t>The regional pattern reflects broader tourism dynamics. London &amp; South East accounts for the largest number of international visits (around 4.9 million) and also has the highest ratio of international to domestic visitors, indicating the importance of waterways in areas with high concentrations of international tourism (see Table 3).</w:t>
      </w:r>
    </w:p>
    <w:p w14:paraId="04AEDE03" w14:textId="4CA2EF20" w:rsidR="00F067A9" w:rsidRPr="00F067A9" w:rsidRDefault="00F067A9" w:rsidP="00B429D5">
      <w:pPr>
        <w:jc w:val="both"/>
      </w:pPr>
      <w:r w:rsidRPr="00F067A9">
        <w:t xml:space="preserve">Other regions also support substantial numbers of international visits, including the West Midlands (around 2.1 million) and the North West (around 1.7 million). In these regions, international visitors form a smaller share of total tourism activity, but still represent a consistent component of overall use. </w:t>
      </w:r>
    </w:p>
    <w:p w14:paraId="4387CC91" w14:textId="77777777" w:rsidR="00F067A9" w:rsidRPr="00F067A9" w:rsidRDefault="00F067A9" w:rsidP="00F067A9">
      <w:r w:rsidRPr="00F067A9">
        <w:t>Taken together, the figures show that international use of towpaths is spread across the network but is most concentrated in regions that are already prominent destinations for inbound visitors, while remaining present as part of the broader visitor mix in all regions.</w:t>
      </w:r>
    </w:p>
    <w:p w14:paraId="36487E6D" w14:textId="77777777" w:rsidR="002B7993" w:rsidRPr="002B7993" w:rsidRDefault="002B7993" w:rsidP="00B429D5"/>
    <w:p w14:paraId="37FFBC15" w14:textId="10425612" w:rsidR="001848D8" w:rsidRPr="00B429D5" w:rsidRDefault="001848D8" w:rsidP="00B429D5">
      <w:pPr>
        <w:rPr>
          <w:kern w:val="2"/>
          <w14:ligatures w14:val="standardContextual"/>
        </w:rPr>
      </w:pPr>
      <w:r>
        <w:rPr>
          <w:b/>
          <w:bCs/>
        </w:rPr>
        <w:t xml:space="preserve">Table 3: </w:t>
      </w:r>
      <w:r w:rsidR="009F1915" w:rsidRPr="009F1915">
        <w:rPr>
          <w:b/>
          <w:bCs/>
        </w:rPr>
        <w:t>Domestic tourism-like visits, international-to-domestic ratio, and international visits by region</w:t>
      </w:r>
    </w:p>
    <w:tbl>
      <w:tblPr>
        <w:tblW w:w="5019" w:type="pct"/>
        <w:tblLayout w:type="fixed"/>
        <w:tblCellMar>
          <w:top w:w="28" w:type="dxa"/>
          <w:bottom w:w="28" w:type="dxa"/>
        </w:tblCellMar>
        <w:tblLook w:val="04A0" w:firstRow="1" w:lastRow="0" w:firstColumn="1" w:lastColumn="0" w:noHBand="0" w:noVBand="1"/>
      </w:tblPr>
      <w:tblGrid>
        <w:gridCol w:w="3713"/>
        <w:gridCol w:w="2228"/>
        <w:gridCol w:w="1980"/>
        <w:gridCol w:w="1980"/>
      </w:tblGrid>
      <w:tr w:rsidR="00BC4A9B" w:rsidRPr="001848D8" w14:paraId="3A7CD6B5" w14:textId="77777777" w:rsidTr="00FA1EFB">
        <w:trPr>
          <w:trHeight w:val="306"/>
        </w:trPr>
        <w:tc>
          <w:tcPr>
            <w:tcW w:w="1875" w:type="pct"/>
            <w:shd w:val="clear" w:color="auto" w:fill="1950A0"/>
            <w:noWrap/>
            <w:vAlign w:val="center"/>
            <w:hideMark/>
          </w:tcPr>
          <w:p w14:paraId="04219023" w14:textId="77DDBD84" w:rsidR="00BC4A9B" w:rsidRPr="00FA1EFB" w:rsidRDefault="00BC4A9B" w:rsidP="00BC4A9B">
            <w:pPr>
              <w:spacing w:after="0"/>
              <w:rPr>
                <w:rFonts w:asciiTheme="majorHAnsi" w:hAnsiTheme="majorHAnsi" w:cs="Arial"/>
                <w:b/>
                <w:color w:val="FFFFFF"/>
              </w:rPr>
            </w:pPr>
            <w:r w:rsidRPr="00FA1EFB">
              <w:rPr>
                <w:rFonts w:asciiTheme="majorHAnsi" w:eastAsia="Microsoft JhengHei" w:hAnsiTheme="majorHAnsi"/>
                <w:b/>
                <w:color w:val="FFFFFF"/>
                <w:lang w:eastAsia="zh-TW"/>
              </w:rPr>
              <w:t>C</w:t>
            </w:r>
            <w:r w:rsidR="007A71B7">
              <w:rPr>
                <w:rFonts w:asciiTheme="majorHAnsi" w:eastAsia="Microsoft JhengHei" w:hAnsiTheme="majorHAnsi"/>
                <w:b/>
                <w:color w:val="FFFFFF"/>
                <w:lang w:eastAsia="zh-TW"/>
              </w:rPr>
              <w:t>anal &amp; River Trust</w:t>
            </w:r>
            <w:r w:rsidRPr="00FA1EFB">
              <w:rPr>
                <w:rFonts w:asciiTheme="majorHAnsi" w:eastAsia="Microsoft JhengHei" w:hAnsiTheme="majorHAnsi"/>
                <w:b/>
                <w:color w:val="FFFFFF"/>
                <w:lang w:eastAsia="zh-TW"/>
              </w:rPr>
              <w:t xml:space="preserve"> region</w:t>
            </w:r>
          </w:p>
        </w:tc>
        <w:tc>
          <w:tcPr>
            <w:tcW w:w="1125" w:type="pct"/>
            <w:shd w:val="clear" w:color="auto" w:fill="1950A0"/>
            <w:vAlign w:val="center"/>
          </w:tcPr>
          <w:p w14:paraId="16A35107" w14:textId="77777777" w:rsidR="00BC4A9B" w:rsidRPr="00FA1EFB" w:rsidRDefault="00BC4A9B" w:rsidP="00BC4A9B">
            <w:pPr>
              <w:spacing w:after="0"/>
              <w:jc w:val="center"/>
              <w:rPr>
                <w:rFonts w:asciiTheme="majorHAnsi" w:eastAsia="Microsoft JhengHei" w:hAnsiTheme="majorHAnsi"/>
                <w:b/>
                <w:color w:val="FFFFFF"/>
                <w:lang w:eastAsia="zh-TW"/>
              </w:rPr>
            </w:pPr>
            <w:r w:rsidRPr="00FA1EFB">
              <w:rPr>
                <w:rFonts w:asciiTheme="majorHAnsi" w:eastAsia="Microsoft JhengHei" w:hAnsiTheme="majorHAnsi"/>
                <w:b/>
                <w:color w:val="FFFFFF"/>
                <w:lang w:eastAsia="zh-TW"/>
              </w:rPr>
              <w:t>Domestic tourism visits, million</w:t>
            </w:r>
          </w:p>
        </w:tc>
        <w:tc>
          <w:tcPr>
            <w:tcW w:w="1000" w:type="pct"/>
            <w:shd w:val="clear" w:color="auto" w:fill="1950A0"/>
          </w:tcPr>
          <w:p w14:paraId="126849DF" w14:textId="77777777" w:rsidR="00BC4A9B" w:rsidRPr="00FA1EFB" w:rsidRDefault="00BC4A9B" w:rsidP="00BC4A9B">
            <w:pPr>
              <w:spacing w:after="0"/>
              <w:jc w:val="center"/>
              <w:rPr>
                <w:rFonts w:asciiTheme="majorHAnsi" w:eastAsia="Microsoft JhengHei" w:hAnsiTheme="majorHAnsi"/>
                <w:b/>
                <w:color w:val="FFFFFF"/>
                <w:lang w:eastAsia="zh-TW"/>
              </w:rPr>
            </w:pPr>
            <w:r w:rsidRPr="00FA1EFB">
              <w:rPr>
                <w:rFonts w:asciiTheme="majorHAnsi" w:eastAsia="Microsoft JhengHei" w:hAnsiTheme="majorHAnsi"/>
                <w:b/>
                <w:color w:val="FFFFFF"/>
                <w:lang w:eastAsia="zh-TW"/>
              </w:rPr>
              <w:t>International-to- domestic ratio</w:t>
            </w:r>
          </w:p>
        </w:tc>
        <w:tc>
          <w:tcPr>
            <w:tcW w:w="1000" w:type="pct"/>
            <w:shd w:val="clear" w:color="auto" w:fill="1950A0"/>
            <w:noWrap/>
            <w:vAlign w:val="center"/>
            <w:hideMark/>
          </w:tcPr>
          <w:p w14:paraId="45E698B3" w14:textId="77777777" w:rsidR="00BC4A9B" w:rsidRPr="00FA1EFB" w:rsidRDefault="00BC4A9B" w:rsidP="00BC4A9B">
            <w:pPr>
              <w:spacing w:after="0"/>
              <w:jc w:val="center"/>
              <w:rPr>
                <w:rFonts w:asciiTheme="majorHAnsi" w:hAnsiTheme="majorHAnsi" w:cs="Arial"/>
                <w:b/>
                <w:color w:val="FFFFFF"/>
              </w:rPr>
            </w:pPr>
            <w:r w:rsidRPr="00FA1EFB">
              <w:rPr>
                <w:rFonts w:asciiTheme="majorHAnsi" w:eastAsia="Microsoft JhengHei" w:hAnsiTheme="majorHAnsi"/>
                <w:b/>
                <w:color w:val="FFFFFF"/>
                <w:lang w:eastAsia="zh-TW"/>
              </w:rPr>
              <w:t>International visits, million</w:t>
            </w:r>
          </w:p>
        </w:tc>
      </w:tr>
      <w:tr w:rsidR="00BC4A9B" w:rsidRPr="001848D8" w14:paraId="34737936" w14:textId="77777777" w:rsidTr="00B429D5">
        <w:trPr>
          <w:trHeight w:val="267"/>
        </w:trPr>
        <w:tc>
          <w:tcPr>
            <w:tcW w:w="1875" w:type="pct"/>
            <w:tcBorders>
              <w:bottom w:val="single" w:sz="4" w:space="0" w:color="auto"/>
            </w:tcBorders>
            <w:noWrap/>
            <w:vAlign w:val="center"/>
            <w:hideMark/>
          </w:tcPr>
          <w:p w14:paraId="6245A2C3" w14:textId="77777777" w:rsidR="00BC4A9B" w:rsidRPr="00B429D5" w:rsidRDefault="00BC4A9B" w:rsidP="00BC4A9B">
            <w:pPr>
              <w:spacing w:after="0"/>
              <w:rPr>
                <w:rFonts w:eastAsia="Microsoft JhengHei"/>
                <w:color w:val="0D0D0D"/>
                <w:lang w:eastAsia="zh-TW"/>
              </w:rPr>
            </w:pPr>
            <w:r w:rsidRPr="00B429D5">
              <w:rPr>
                <w:rFonts w:eastAsia="Microsoft JhengHei"/>
                <w:color w:val="0D0D0D"/>
                <w:lang w:eastAsia="zh-TW"/>
              </w:rPr>
              <w:t>London &amp; South East</w:t>
            </w:r>
          </w:p>
        </w:tc>
        <w:tc>
          <w:tcPr>
            <w:tcW w:w="1125" w:type="pct"/>
            <w:tcBorders>
              <w:bottom w:val="single" w:sz="4" w:space="0" w:color="auto"/>
            </w:tcBorders>
            <w:vAlign w:val="center"/>
          </w:tcPr>
          <w:p w14:paraId="2481F7D8" w14:textId="41E7906D" w:rsidR="00BC4A9B" w:rsidRPr="00B429D5" w:rsidRDefault="00BC4A9B" w:rsidP="00BC4A9B">
            <w:pPr>
              <w:spacing w:after="0"/>
              <w:jc w:val="center"/>
              <w:rPr>
                <w:rFonts w:eastAsia="Microsoft JhengHei"/>
                <w:color w:val="0D0D0D"/>
                <w:lang w:eastAsia="zh-TW"/>
              </w:rPr>
            </w:pPr>
            <w:r w:rsidRPr="00B429D5">
              <w:rPr>
                <w:rFonts w:eastAsia="Microsoft JhengHei"/>
                <w:color w:val="0D0D0D"/>
                <w:lang w:eastAsia="zh-TW"/>
              </w:rPr>
              <w:t>13.0</w:t>
            </w:r>
          </w:p>
        </w:tc>
        <w:tc>
          <w:tcPr>
            <w:tcW w:w="1000" w:type="pct"/>
            <w:tcBorders>
              <w:bottom w:val="single" w:sz="4" w:space="0" w:color="auto"/>
            </w:tcBorders>
            <w:vAlign w:val="center"/>
          </w:tcPr>
          <w:p w14:paraId="290DED9D" w14:textId="6E057B07" w:rsidR="00BC4A9B" w:rsidRPr="00B429D5" w:rsidRDefault="00BC4A9B" w:rsidP="00BC4A9B">
            <w:pPr>
              <w:spacing w:after="0"/>
              <w:jc w:val="center"/>
              <w:rPr>
                <w:rFonts w:eastAsia="Microsoft JhengHei"/>
                <w:color w:val="0D0D0D"/>
                <w:lang w:eastAsia="zh-TW"/>
              </w:rPr>
            </w:pPr>
            <w:r w:rsidRPr="00B429D5">
              <w:rPr>
                <w:rFonts w:eastAsia="Microsoft JhengHei"/>
                <w:color w:val="0D0D0D"/>
                <w:lang w:eastAsia="zh-TW"/>
              </w:rPr>
              <w:t>3</w:t>
            </w:r>
            <w:r w:rsidR="00202B5F">
              <w:rPr>
                <w:rFonts w:eastAsia="Microsoft JhengHei"/>
                <w:color w:val="0D0D0D"/>
                <w:lang w:eastAsia="zh-TW"/>
              </w:rPr>
              <w:t>8</w:t>
            </w:r>
            <w:r w:rsidRPr="00B429D5">
              <w:rPr>
                <w:rFonts w:eastAsia="Microsoft JhengHei"/>
                <w:color w:val="0D0D0D"/>
                <w:lang w:eastAsia="zh-TW"/>
              </w:rPr>
              <w:t>%</w:t>
            </w:r>
          </w:p>
        </w:tc>
        <w:tc>
          <w:tcPr>
            <w:tcW w:w="1000" w:type="pct"/>
            <w:tcBorders>
              <w:bottom w:val="single" w:sz="4" w:space="0" w:color="auto"/>
            </w:tcBorders>
            <w:noWrap/>
            <w:vAlign w:val="center"/>
          </w:tcPr>
          <w:p w14:paraId="16617934" w14:textId="634DBDD7" w:rsidR="00BC4A9B" w:rsidRPr="00B429D5" w:rsidRDefault="00BC4A9B" w:rsidP="00BC4A9B">
            <w:pPr>
              <w:spacing w:after="0"/>
              <w:jc w:val="center"/>
              <w:rPr>
                <w:rFonts w:eastAsia="Microsoft JhengHei"/>
                <w:color w:val="0D0D0D"/>
                <w:lang w:eastAsia="zh-TW"/>
              </w:rPr>
            </w:pPr>
            <w:r w:rsidRPr="00B429D5">
              <w:rPr>
                <w:rFonts w:eastAsia="Microsoft JhengHei"/>
                <w:color w:val="0D0D0D"/>
                <w:lang w:eastAsia="zh-TW"/>
              </w:rPr>
              <w:t>4.9</w:t>
            </w:r>
          </w:p>
        </w:tc>
      </w:tr>
      <w:tr w:rsidR="00BC4A9B" w:rsidRPr="001848D8" w14:paraId="0C032DBC" w14:textId="77777777" w:rsidTr="00B429D5">
        <w:trPr>
          <w:trHeight w:val="267"/>
        </w:trPr>
        <w:tc>
          <w:tcPr>
            <w:tcW w:w="1875" w:type="pct"/>
            <w:tcBorders>
              <w:top w:val="single" w:sz="4" w:space="0" w:color="auto"/>
              <w:bottom w:val="single" w:sz="4" w:space="0" w:color="auto"/>
            </w:tcBorders>
            <w:noWrap/>
            <w:vAlign w:val="center"/>
          </w:tcPr>
          <w:p w14:paraId="4CFDE4BB" w14:textId="77777777" w:rsidR="00BC4A9B" w:rsidRPr="00B429D5" w:rsidRDefault="00BC4A9B" w:rsidP="00BC4A9B">
            <w:pPr>
              <w:spacing w:after="0"/>
              <w:rPr>
                <w:rFonts w:eastAsia="Microsoft JhengHei"/>
                <w:color w:val="0D0D0D"/>
                <w:lang w:eastAsia="zh-TW"/>
              </w:rPr>
            </w:pPr>
            <w:r w:rsidRPr="00B429D5">
              <w:rPr>
                <w:rFonts w:eastAsia="Microsoft JhengHei"/>
                <w:color w:val="0D0D0D"/>
                <w:lang w:eastAsia="zh-TW"/>
              </w:rPr>
              <w:t>North West</w:t>
            </w:r>
          </w:p>
        </w:tc>
        <w:tc>
          <w:tcPr>
            <w:tcW w:w="1125" w:type="pct"/>
            <w:tcBorders>
              <w:top w:val="single" w:sz="4" w:space="0" w:color="auto"/>
              <w:bottom w:val="single" w:sz="4" w:space="0" w:color="auto"/>
            </w:tcBorders>
            <w:vAlign w:val="center"/>
          </w:tcPr>
          <w:p w14:paraId="433CCB26" w14:textId="3878DC83" w:rsidR="00BC4A9B" w:rsidRPr="00B429D5" w:rsidRDefault="00BC4A9B" w:rsidP="00BC4A9B">
            <w:pPr>
              <w:spacing w:after="0"/>
              <w:jc w:val="center"/>
              <w:rPr>
                <w:rFonts w:eastAsia="Microsoft JhengHei"/>
                <w:color w:val="0D0D0D"/>
                <w:lang w:eastAsia="zh-TW"/>
              </w:rPr>
            </w:pPr>
            <w:r w:rsidRPr="00B429D5">
              <w:rPr>
                <w:rFonts w:eastAsia="Microsoft JhengHei"/>
                <w:color w:val="0D0D0D"/>
                <w:lang w:eastAsia="zh-TW"/>
              </w:rPr>
              <w:t>13.7</w:t>
            </w:r>
          </w:p>
        </w:tc>
        <w:tc>
          <w:tcPr>
            <w:tcW w:w="1000" w:type="pct"/>
            <w:tcBorders>
              <w:top w:val="single" w:sz="4" w:space="0" w:color="auto"/>
              <w:bottom w:val="single" w:sz="4" w:space="0" w:color="auto"/>
            </w:tcBorders>
            <w:vAlign w:val="center"/>
          </w:tcPr>
          <w:p w14:paraId="0E4A5C41" w14:textId="7E6B4DE5" w:rsidR="00BC4A9B" w:rsidRPr="00B429D5" w:rsidRDefault="00BC4A9B" w:rsidP="00BC4A9B">
            <w:pPr>
              <w:spacing w:after="0"/>
              <w:jc w:val="center"/>
              <w:rPr>
                <w:rFonts w:eastAsia="Microsoft JhengHei"/>
                <w:color w:val="0D0D0D"/>
                <w:lang w:eastAsia="zh-TW"/>
              </w:rPr>
            </w:pPr>
            <w:r w:rsidRPr="00B429D5">
              <w:rPr>
                <w:rFonts w:eastAsia="Microsoft JhengHei"/>
                <w:color w:val="0D0D0D"/>
                <w:lang w:eastAsia="zh-TW"/>
              </w:rPr>
              <w:t>1</w:t>
            </w:r>
            <w:r w:rsidR="00202B5F">
              <w:rPr>
                <w:rFonts w:eastAsia="Microsoft JhengHei"/>
                <w:color w:val="0D0D0D"/>
                <w:lang w:eastAsia="zh-TW"/>
              </w:rPr>
              <w:t>3</w:t>
            </w:r>
            <w:r w:rsidRPr="00B429D5">
              <w:rPr>
                <w:rFonts w:eastAsia="Microsoft JhengHei"/>
                <w:color w:val="0D0D0D"/>
                <w:lang w:eastAsia="zh-TW"/>
              </w:rPr>
              <w:t>%</w:t>
            </w:r>
          </w:p>
        </w:tc>
        <w:tc>
          <w:tcPr>
            <w:tcW w:w="1000" w:type="pct"/>
            <w:tcBorders>
              <w:top w:val="single" w:sz="4" w:space="0" w:color="auto"/>
              <w:bottom w:val="single" w:sz="4" w:space="0" w:color="auto"/>
            </w:tcBorders>
            <w:noWrap/>
            <w:vAlign w:val="center"/>
          </w:tcPr>
          <w:p w14:paraId="55C1EF38" w14:textId="75984D2A" w:rsidR="00BC4A9B" w:rsidRPr="00B429D5" w:rsidRDefault="00BC4A9B" w:rsidP="00BC4A9B">
            <w:pPr>
              <w:spacing w:after="0"/>
              <w:jc w:val="center"/>
              <w:rPr>
                <w:rFonts w:eastAsia="Microsoft JhengHei"/>
                <w:color w:val="0D0D0D"/>
                <w:lang w:eastAsia="zh-TW"/>
              </w:rPr>
            </w:pPr>
            <w:r w:rsidRPr="00B429D5">
              <w:rPr>
                <w:rFonts w:eastAsia="Microsoft JhengHei"/>
                <w:color w:val="0D0D0D"/>
                <w:lang w:eastAsia="zh-TW"/>
              </w:rPr>
              <w:t>1.7</w:t>
            </w:r>
          </w:p>
        </w:tc>
      </w:tr>
      <w:tr w:rsidR="00BC4A9B" w:rsidRPr="001848D8" w14:paraId="7681C8A6" w14:textId="77777777" w:rsidTr="00B429D5">
        <w:trPr>
          <w:trHeight w:val="267"/>
        </w:trPr>
        <w:tc>
          <w:tcPr>
            <w:tcW w:w="1875" w:type="pct"/>
            <w:tcBorders>
              <w:top w:val="single" w:sz="4" w:space="0" w:color="auto"/>
              <w:bottom w:val="single" w:sz="4" w:space="0" w:color="auto"/>
            </w:tcBorders>
            <w:noWrap/>
            <w:vAlign w:val="center"/>
          </w:tcPr>
          <w:p w14:paraId="70FE3878" w14:textId="77777777" w:rsidR="00BC4A9B" w:rsidRPr="00B429D5" w:rsidRDefault="00BC4A9B" w:rsidP="00BC4A9B">
            <w:pPr>
              <w:spacing w:after="0"/>
              <w:rPr>
                <w:rFonts w:eastAsia="Microsoft JhengHei"/>
                <w:color w:val="0D0D0D"/>
                <w:lang w:eastAsia="zh-TW"/>
              </w:rPr>
            </w:pPr>
            <w:r w:rsidRPr="00B429D5">
              <w:rPr>
                <w:rFonts w:eastAsia="Microsoft JhengHei"/>
                <w:color w:val="0D0D0D"/>
                <w:lang w:eastAsia="zh-TW"/>
              </w:rPr>
              <w:t>West Midlands</w:t>
            </w:r>
          </w:p>
        </w:tc>
        <w:tc>
          <w:tcPr>
            <w:tcW w:w="1125" w:type="pct"/>
            <w:tcBorders>
              <w:top w:val="single" w:sz="4" w:space="0" w:color="auto"/>
              <w:bottom w:val="single" w:sz="4" w:space="0" w:color="auto"/>
            </w:tcBorders>
            <w:vAlign w:val="center"/>
          </w:tcPr>
          <w:p w14:paraId="63C9561E" w14:textId="6ED53193" w:rsidR="00BC4A9B" w:rsidRPr="00B429D5" w:rsidRDefault="00BC4A9B" w:rsidP="00BC4A9B">
            <w:pPr>
              <w:spacing w:after="0"/>
              <w:jc w:val="center"/>
              <w:rPr>
                <w:rFonts w:eastAsia="Microsoft JhengHei"/>
                <w:color w:val="0D0D0D"/>
                <w:lang w:eastAsia="zh-TW"/>
              </w:rPr>
            </w:pPr>
            <w:r w:rsidRPr="00B429D5">
              <w:rPr>
                <w:rFonts w:eastAsia="Microsoft JhengHei"/>
                <w:color w:val="0D0D0D"/>
                <w:lang w:eastAsia="zh-TW"/>
              </w:rPr>
              <w:t>13.</w:t>
            </w:r>
            <w:r w:rsidR="003B0B6D">
              <w:rPr>
                <w:rFonts w:eastAsia="Microsoft JhengHei"/>
                <w:color w:val="0D0D0D"/>
                <w:lang w:eastAsia="zh-TW"/>
              </w:rPr>
              <w:t>9</w:t>
            </w:r>
          </w:p>
        </w:tc>
        <w:tc>
          <w:tcPr>
            <w:tcW w:w="1000" w:type="pct"/>
            <w:tcBorders>
              <w:top w:val="single" w:sz="4" w:space="0" w:color="auto"/>
              <w:bottom w:val="single" w:sz="4" w:space="0" w:color="auto"/>
            </w:tcBorders>
            <w:vAlign w:val="center"/>
          </w:tcPr>
          <w:p w14:paraId="3DF9A6EC" w14:textId="03DBD535" w:rsidR="00BC4A9B" w:rsidRPr="00B429D5" w:rsidRDefault="00BC4A9B" w:rsidP="00BC4A9B">
            <w:pPr>
              <w:spacing w:after="0"/>
              <w:jc w:val="center"/>
              <w:rPr>
                <w:rFonts w:eastAsia="Microsoft JhengHei"/>
                <w:color w:val="0D0D0D"/>
                <w:lang w:eastAsia="zh-TW"/>
              </w:rPr>
            </w:pPr>
            <w:r w:rsidRPr="00B429D5">
              <w:rPr>
                <w:rFonts w:eastAsia="Microsoft JhengHei"/>
                <w:color w:val="0D0D0D"/>
                <w:lang w:eastAsia="zh-TW"/>
              </w:rPr>
              <w:t>15%</w:t>
            </w:r>
          </w:p>
        </w:tc>
        <w:tc>
          <w:tcPr>
            <w:tcW w:w="1000" w:type="pct"/>
            <w:tcBorders>
              <w:top w:val="single" w:sz="4" w:space="0" w:color="auto"/>
              <w:bottom w:val="single" w:sz="4" w:space="0" w:color="auto"/>
            </w:tcBorders>
            <w:noWrap/>
            <w:vAlign w:val="center"/>
          </w:tcPr>
          <w:p w14:paraId="2D858666" w14:textId="238F0F06" w:rsidR="00BC4A9B" w:rsidRPr="00B429D5" w:rsidRDefault="00BC4A9B" w:rsidP="00BC4A9B">
            <w:pPr>
              <w:spacing w:after="0"/>
              <w:jc w:val="center"/>
              <w:rPr>
                <w:rFonts w:eastAsia="Microsoft JhengHei"/>
                <w:color w:val="0D0D0D"/>
                <w:lang w:eastAsia="zh-TW"/>
              </w:rPr>
            </w:pPr>
            <w:r w:rsidRPr="00B429D5">
              <w:rPr>
                <w:rFonts w:eastAsia="Microsoft JhengHei"/>
                <w:color w:val="0D0D0D"/>
                <w:lang w:eastAsia="zh-TW"/>
              </w:rPr>
              <w:t>2.1</w:t>
            </w:r>
          </w:p>
        </w:tc>
      </w:tr>
      <w:tr w:rsidR="00BC4A9B" w:rsidRPr="001848D8" w14:paraId="5BEE2F30" w14:textId="77777777" w:rsidTr="00B429D5">
        <w:trPr>
          <w:trHeight w:val="267"/>
        </w:trPr>
        <w:tc>
          <w:tcPr>
            <w:tcW w:w="1875" w:type="pct"/>
            <w:tcBorders>
              <w:top w:val="single" w:sz="4" w:space="0" w:color="auto"/>
              <w:bottom w:val="single" w:sz="4" w:space="0" w:color="auto"/>
            </w:tcBorders>
            <w:noWrap/>
            <w:vAlign w:val="center"/>
            <w:hideMark/>
          </w:tcPr>
          <w:p w14:paraId="6BFB8116" w14:textId="2FBDEE36" w:rsidR="00BC4A9B" w:rsidRPr="00B429D5" w:rsidRDefault="00BC4A9B" w:rsidP="00BC4A9B">
            <w:pPr>
              <w:spacing w:after="0"/>
              <w:rPr>
                <w:rFonts w:eastAsia="Microsoft JhengHei"/>
                <w:color w:val="0D0D0D"/>
                <w:lang w:eastAsia="zh-TW"/>
              </w:rPr>
            </w:pPr>
            <w:r w:rsidRPr="00B429D5">
              <w:rPr>
                <w:rFonts w:eastAsia="Microsoft JhengHei"/>
                <w:color w:val="0D0D0D"/>
                <w:lang w:eastAsia="zh-TW"/>
              </w:rPr>
              <w:t>East Midlands</w:t>
            </w:r>
          </w:p>
        </w:tc>
        <w:tc>
          <w:tcPr>
            <w:tcW w:w="1125" w:type="pct"/>
            <w:tcBorders>
              <w:top w:val="single" w:sz="4" w:space="0" w:color="auto"/>
              <w:bottom w:val="single" w:sz="4" w:space="0" w:color="auto"/>
            </w:tcBorders>
            <w:vAlign w:val="center"/>
          </w:tcPr>
          <w:p w14:paraId="2A9421B4" w14:textId="2FFB6624" w:rsidR="00BC4A9B" w:rsidRPr="00B429D5" w:rsidRDefault="00BC4A9B" w:rsidP="00BC4A9B">
            <w:pPr>
              <w:spacing w:after="0"/>
              <w:jc w:val="center"/>
              <w:rPr>
                <w:rFonts w:eastAsia="Microsoft JhengHei"/>
                <w:color w:val="0D0D0D"/>
                <w:lang w:eastAsia="zh-TW"/>
              </w:rPr>
            </w:pPr>
            <w:r w:rsidRPr="00B429D5">
              <w:rPr>
                <w:rFonts w:eastAsia="Microsoft JhengHei"/>
                <w:color w:val="0D0D0D"/>
                <w:lang w:eastAsia="zh-TW"/>
              </w:rPr>
              <w:t>1</w:t>
            </w:r>
            <w:r w:rsidR="003B0B6D">
              <w:rPr>
                <w:rFonts w:eastAsia="Microsoft JhengHei"/>
                <w:color w:val="0D0D0D"/>
                <w:lang w:eastAsia="zh-TW"/>
              </w:rPr>
              <w:t>1</w:t>
            </w:r>
            <w:r w:rsidRPr="00B429D5">
              <w:rPr>
                <w:rFonts w:eastAsia="Microsoft JhengHei"/>
                <w:color w:val="0D0D0D"/>
                <w:lang w:eastAsia="zh-TW"/>
              </w:rPr>
              <w:t>.</w:t>
            </w:r>
            <w:r w:rsidR="003B0B6D">
              <w:rPr>
                <w:rFonts w:eastAsia="Microsoft JhengHei"/>
                <w:color w:val="0D0D0D"/>
                <w:lang w:eastAsia="zh-TW"/>
              </w:rPr>
              <w:t>0</w:t>
            </w:r>
          </w:p>
        </w:tc>
        <w:tc>
          <w:tcPr>
            <w:tcW w:w="1000" w:type="pct"/>
            <w:tcBorders>
              <w:top w:val="single" w:sz="4" w:space="0" w:color="auto"/>
              <w:bottom w:val="single" w:sz="4" w:space="0" w:color="auto"/>
            </w:tcBorders>
            <w:vAlign w:val="center"/>
          </w:tcPr>
          <w:p w14:paraId="0FDDC1D9" w14:textId="5A8A4965" w:rsidR="00BC4A9B" w:rsidRPr="00B429D5" w:rsidRDefault="00202B5F" w:rsidP="00BC4A9B">
            <w:pPr>
              <w:spacing w:after="0"/>
              <w:jc w:val="center"/>
              <w:rPr>
                <w:rFonts w:eastAsia="Microsoft JhengHei"/>
                <w:color w:val="0D0D0D"/>
                <w:lang w:eastAsia="zh-TW"/>
              </w:rPr>
            </w:pPr>
            <w:r>
              <w:rPr>
                <w:rFonts w:eastAsia="Microsoft JhengHei"/>
                <w:color w:val="0D0D0D"/>
                <w:lang w:eastAsia="zh-TW"/>
              </w:rPr>
              <w:t>6</w:t>
            </w:r>
            <w:r w:rsidR="00BC4A9B" w:rsidRPr="00B429D5">
              <w:rPr>
                <w:rFonts w:eastAsia="Microsoft JhengHei"/>
                <w:color w:val="0D0D0D"/>
                <w:lang w:eastAsia="zh-TW"/>
              </w:rPr>
              <w:t>%</w:t>
            </w:r>
          </w:p>
        </w:tc>
        <w:tc>
          <w:tcPr>
            <w:tcW w:w="1000" w:type="pct"/>
            <w:tcBorders>
              <w:top w:val="single" w:sz="4" w:space="0" w:color="auto"/>
              <w:bottom w:val="single" w:sz="4" w:space="0" w:color="auto"/>
            </w:tcBorders>
            <w:noWrap/>
            <w:vAlign w:val="center"/>
          </w:tcPr>
          <w:p w14:paraId="496251F0" w14:textId="062E8B20" w:rsidR="00BC4A9B" w:rsidRPr="00B429D5" w:rsidRDefault="00BC4A9B" w:rsidP="00BC4A9B">
            <w:pPr>
              <w:spacing w:after="0"/>
              <w:jc w:val="center"/>
              <w:rPr>
                <w:rFonts w:eastAsia="Microsoft JhengHei"/>
                <w:color w:val="0D0D0D"/>
                <w:lang w:eastAsia="zh-TW"/>
              </w:rPr>
            </w:pPr>
            <w:r w:rsidRPr="00B429D5">
              <w:rPr>
                <w:rFonts w:eastAsia="Microsoft JhengHei"/>
                <w:color w:val="0D0D0D"/>
                <w:lang w:eastAsia="zh-TW"/>
              </w:rPr>
              <w:t>0.6</w:t>
            </w:r>
          </w:p>
        </w:tc>
      </w:tr>
      <w:tr w:rsidR="00BC4A9B" w:rsidRPr="001848D8" w14:paraId="5F22C602" w14:textId="77777777" w:rsidTr="00B429D5">
        <w:trPr>
          <w:trHeight w:val="267"/>
        </w:trPr>
        <w:tc>
          <w:tcPr>
            <w:tcW w:w="1875" w:type="pct"/>
            <w:tcBorders>
              <w:top w:val="single" w:sz="4" w:space="0" w:color="auto"/>
              <w:bottom w:val="single" w:sz="4" w:space="0" w:color="auto"/>
            </w:tcBorders>
            <w:noWrap/>
            <w:vAlign w:val="center"/>
            <w:hideMark/>
          </w:tcPr>
          <w:p w14:paraId="5B953DD2" w14:textId="77777777" w:rsidR="00BC4A9B" w:rsidRPr="00B429D5" w:rsidRDefault="00BC4A9B" w:rsidP="00BC4A9B">
            <w:pPr>
              <w:spacing w:after="0"/>
              <w:rPr>
                <w:rFonts w:eastAsia="Microsoft JhengHei"/>
                <w:color w:val="0D0D0D"/>
                <w:lang w:eastAsia="zh-TW"/>
              </w:rPr>
            </w:pPr>
            <w:r w:rsidRPr="00B429D5">
              <w:rPr>
                <w:rFonts w:eastAsia="Microsoft JhengHei"/>
                <w:color w:val="0D0D0D"/>
                <w:lang w:eastAsia="zh-TW"/>
              </w:rPr>
              <w:t>Wales &amp; South West</w:t>
            </w:r>
          </w:p>
        </w:tc>
        <w:tc>
          <w:tcPr>
            <w:tcW w:w="1125" w:type="pct"/>
            <w:tcBorders>
              <w:top w:val="single" w:sz="4" w:space="0" w:color="auto"/>
              <w:bottom w:val="single" w:sz="4" w:space="0" w:color="auto"/>
            </w:tcBorders>
            <w:vAlign w:val="center"/>
          </w:tcPr>
          <w:p w14:paraId="07718506" w14:textId="429BFF86" w:rsidR="00BC4A9B" w:rsidRPr="00B429D5" w:rsidRDefault="00BC4A9B" w:rsidP="00BC4A9B">
            <w:pPr>
              <w:spacing w:after="0"/>
              <w:jc w:val="center"/>
              <w:rPr>
                <w:rFonts w:eastAsia="Microsoft JhengHei"/>
                <w:color w:val="0D0D0D"/>
                <w:lang w:eastAsia="zh-TW"/>
              </w:rPr>
            </w:pPr>
            <w:r w:rsidRPr="00B429D5">
              <w:rPr>
                <w:rFonts w:eastAsia="Microsoft JhengHei"/>
                <w:color w:val="0D0D0D"/>
                <w:lang w:eastAsia="zh-TW"/>
              </w:rPr>
              <w:t>5.</w:t>
            </w:r>
            <w:r w:rsidR="003B0B6D">
              <w:rPr>
                <w:rFonts w:eastAsia="Microsoft JhengHei"/>
                <w:color w:val="0D0D0D"/>
                <w:lang w:eastAsia="zh-TW"/>
              </w:rPr>
              <w:t>5</w:t>
            </w:r>
          </w:p>
        </w:tc>
        <w:tc>
          <w:tcPr>
            <w:tcW w:w="1000" w:type="pct"/>
            <w:tcBorders>
              <w:top w:val="single" w:sz="4" w:space="0" w:color="auto"/>
              <w:bottom w:val="single" w:sz="4" w:space="0" w:color="auto"/>
            </w:tcBorders>
            <w:vAlign w:val="center"/>
          </w:tcPr>
          <w:p w14:paraId="2908E197" w14:textId="75A69AA8" w:rsidR="00BC4A9B" w:rsidRPr="00B429D5" w:rsidRDefault="00BC4A9B" w:rsidP="00BC4A9B">
            <w:pPr>
              <w:spacing w:after="0"/>
              <w:jc w:val="center"/>
              <w:rPr>
                <w:rFonts w:eastAsia="Microsoft JhengHei"/>
                <w:color w:val="0D0D0D"/>
                <w:lang w:eastAsia="zh-TW"/>
              </w:rPr>
            </w:pPr>
            <w:r w:rsidRPr="00B429D5">
              <w:rPr>
                <w:rFonts w:eastAsia="Microsoft JhengHei"/>
                <w:color w:val="0D0D0D"/>
                <w:lang w:eastAsia="zh-TW"/>
              </w:rPr>
              <w:t>13%</w:t>
            </w:r>
          </w:p>
        </w:tc>
        <w:tc>
          <w:tcPr>
            <w:tcW w:w="1000" w:type="pct"/>
            <w:tcBorders>
              <w:top w:val="single" w:sz="4" w:space="0" w:color="auto"/>
              <w:bottom w:val="single" w:sz="4" w:space="0" w:color="auto"/>
            </w:tcBorders>
            <w:noWrap/>
            <w:vAlign w:val="center"/>
          </w:tcPr>
          <w:p w14:paraId="54C3305A" w14:textId="13881D37" w:rsidR="00BC4A9B" w:rsidRPr="00B429D5" w:rsidRDefault="00BC4A9B" w:rsidP="00BC4A9B">
            <w:pPr>
              <w:spacing w:after="0"/>
              <w:jc w:val="center"/>
              <w:rPr>
                <w:rFonts w:eastAsia="Microsoft JhengHei"/>
                <w:color w:val="0D0D0D"/>
                <w:lang w:eastAsia="zh-TW"/>
              </w:rPr>
            </w:pPr>
            <w:r w:rsidRPr="00B429D5">
              <w:rPr>
                <w:rFonts w:eastAsia="Microsoft JhengHei"/>
                <w:color w:val="0D0D0D"/>
                <w:lang w:eastAsia="zh-TW"/>
              </w:rPr>
              <w:t>0.7</w:t>
            </w:r>
          </w:p>
        </w:tc>
      </w:tr>
      <w:tr w:rsidR="00BC4A9B" w:rsidRPr="001848D8" w14:paraId="39AF695D" w14:textId="77777777" w:rsidTr="00B429D5">
        <w:trPr>
          <w:trHeight w:val="267"/>
        </w:trPr>
        <w:tc>
          <w:tcPr>
            <w:tcW w:w="1875" w:type="pct"/>
            <w:tcBorders>
              <w:top w:val="single" w:sz="4" w:space="0" w:color="auto"/>
              <w:bottom w:val="single" w:sz="4" w:space="0" w:color="auto"/>
            </w:tcBorders>
            <w:noWrap/>
            <w:vAlign w:val="center"/>
            <w:hideMark/>
          </w:tcPr>
          <w:p w14:paraId="54132859" w14:textId="77777777" w:rsidR="00BC4A9B" w:rsidRPr="00B429D5" w:rsidRDefault="00BC4A9B" w:rsidP="00BC4A9B">
            <w:pPr>
              <w:spacing w:after="0"/>
              <w:rPr>
                <w:rFonts w:eastAsia="Microsoft JhengHei"/>
                <w:color w:val="0D0D0D"/>
                <w:lang w:eastAsia="zh-TW"/>
              </w:rPr>
            </w:pPr>
            <w:r w:rsidRPr="00B429D5">
              <w:rPr>
                <w:rFonts w:eastAsia="Microsoft JhengHei"/>
                <w:color w:val="0D0D0D"/>
                <w:lang w:eastAsia="zh-TW"/>
              </w:rPr>
              <w:t>Yorkshire &amp; North East</w:t>
            </w:r>
          </w:p>
        </w:tc>
        <w:tc>
          <w:tcPr>
            <w:tcW w:w="1125" w:type="pct"/>
            <w:tcBorders>
              <w:top w:val="single" w:sz="4" w:space="0" w:color="auto"/>
              <w:bottom w:val="single" w:sz="4" w:space="0" w:color="auto"/>
            </w:tcBorders>
            <w:vAlign w:val="center"/>
          </w:tcPr>
          <w:p w14:paraId="7DFFAE34" w14:textId="67D575F5" w:rsidR="00BC4A9B" w:rsidRPr="00B429D5" w:rsidRDefault="00BC4A9B" w:rsidP="00BC4A9B">
            <w:pPr>
              <w:spacing w:after="0"/>
              <w:jc w:val="center"/>
              <w:rPr>
                <w:rFonts w:eastAsia="Microsoft JhengHei"/>
                <w:color w:val="0D0D0D"/>
                <w:lang w:eastAsia="zh-TW"/>
              </w:rPr>
            </w:pPr>
            <w:r w:rsidRPr="00B429D5">
              <w:rPr>
                <w:rFonts w:eastAsia="Microsoft JhengHei"/>
                <w:color w:val="0D0D0D"/>
                <w:lang w:eastAsia="zh-TW"/>
              </w:rPr>
              <w:t>10.4</w:t>
            </w:r>
          </w:p>
        </w:tc>
        <w:tc>
          <w:tcPr>
            <w:tcW w:w="1000" w:type="pct"/>
            <w:tcBorders>
              <w:top w:val="single" w:sz="4" w:space="0" w:color="auto"/>
              <w:bottom w:val="single" w:sz="4" w:space="0" w:color="auto"/>
            </w:tcBorders>
            <w:vAlign w:val="center"/>
          </w:tcPr>
          <w:p w14:paraId="54CAF2DB" w14:textId="031B33F0" w:rsidR="00BC4A9B" w:rsidRPr="00B429D5" w:rsidRDefault="00202B5F" w:rsidP="00BC4A9B">
            <w:pPr>
              <w:spacing w:after="0"/>
              <w:jc w:val="center"/>
              <w:rPr>
                <w:rFonts w:eastAsia="Microsoft JhengHei"/>
                <w:color w:val="0D0D0D"/>
                <w:lang w:eastAsia="zh-TW"/>
              </w:rPr>
            </w:pPr>
            <w:r>
              <w:rPr>
                <w:rFonts w:eastAsia="Microsoft JhengHei"/>
                <w:color w:val="0D0D0D"/>
                <w:lang w:eastAsia="zh-TW"/>
              </w:rPr>
              <w:t>5</w:t>
            </w:r>
            <w:r w:rsidR="00BC4A9B" w:rsidRPr="00B429D5">
              <w:rPr>
                <w:rFonts w:eastAsia="Microsoft JhengHei"/>
                <w:color w:val="0D0D0D"/>
                <w:lang w:eastAsia="zh-TW"/>
              </w:rPr>
              <w:t>%</w:t>
            </w:r>
          </w:p>
        </w:tc>
        <w:tc>
          <w:tcPr>
            <w:tcW w:w="1000" w:type="pct"/>
            <w:tcBorders>
              <w:top w:val="single" w:sz="4" w:space="0" w:color="auto"/>
              <w:bottom w:val="single" w:sz="4" w:space="0" w:color="auto"/>
            </w:tcBorders>
            <w:noWrap/>
            <w:vAlign w:val="center"/>
          </w:tcPr>
          <w:p w14:paraId="08D3A00B" w14:textId="45A4424C" w:rsidR="00BC4A9B" w:rsidRPr="00B429D5" w:rsidRDefault="00BC4A9B" w:rsidP="00BC4A9B">
            <w:pPr>
              <w:spacing w:after="0"/>
              <w:jc w:val="center"/>
              <w:rPr>
                <w:rFonts w:eastAsia="Microsoft JhengHei"/>
                <w:color w:val="0D0D0D"/>
                <w:lang w:eastAsia="zh-TW"/>
              </w:rPr>
            </w:pPr>
            <w:r w:rsidRPr="00B429D5">
              <w:rPr>
                <w:rFonts w:eastAsia="Microsoft JhengHei"/>
                <w:color w:val="0D0D0D"/>
                <w:lang w:eastAsia="zh-TW"/>
              </w:rPr>
              <w:t>0.</w:t>
            </w:r>
            <w:r w:rsidR="00202B5F">
              <w:rPr>
                <w:rFonts w:eastAsia="Microsoft JhengHei"/>
                <w:color w:val="0D0D0D"/>
                <w:lang w:eastAsia="zh-TW"/>
              </w:rPr>
              <w:t>5</w:t>
            </w:r>
          </w:p>
        </w:tc>
      </w:tr>
      <w:tr w:rsidR="00BC4A9B" w:rsidRPr="001848D8" w14:paraId="1D601524" w14:textId="77777777" w:rsidTr="00B429D5">
        <w:trPr>
          <w:trHeight w:val="14"/>
        </w:trPr>
        <w:tc>
          <w:tcPr>
            <w:tcW w:w="1875" w:type="pct"/>
            <w:tcBorders>
              <w:top w:val="single" w:sz="4" w:space="0" w:color="auto"/>
              <w:bottom w:val="single" w:sz="4" w:space="0" w:color="000000"/>
            </w:tcBorders>
            <w:noWrap/>
            <w:vAlign w:val="center"/>
          </w:tcPr>
          <w:p w14:paraId="1969E470" w14:textId="77777777" w:rsidR="00BC4A9B" w:rsidRPr="00FA1EFB" w:rsidRDefault="00BC4A9B" w:rsidP="00BC4A9B">
            <w:pPr>
              <w:spacing w:after="0"/>
              <w:rPr>
                <w:rFonts w:asciiTheme="majorHAnsi" w:eastAsia="Microsoft JhengHei" w:hAnsiTheme="majorHAnsi"/>
                <w:b/>
                <w:color w:val="0D0D0D"/>
                <w:lang w:eastAsia="zh-TW"/>
              </w:rPr>
            </w:pPr>
            <w:r w:rsidRPr="00FA1EFB">
              <w:rPr>
                <w:rFonts w:asciiTheme="majorHAnsi" w:eastAsia="Microsoft JhengHei" w:hAnsiTheme="majorHAnsi"/>
                <w:b/>
                <w:color w:val="0D0D0D"/>
                <w:lang w:eastAsia="zh-TW"/>
              </w:rPr>
              <w:t>Total</w:t>
            </w:r>
          </w:p>
        </w:tc>
        <w:tc>
          <w:tcPr>
            <w:tcW w:w="1125" w:type="pct"/>
            <w:tcBorders>
              <w:top w:val="single" w:sz="4" w:space="0" w:color="auto"/>
              <w:bottom w:val="single" w:sz="4" w:space="0" w:color="000000"/>
            </w:tcBorders>
            <w:vAlign w:val="center"/>
          </w:tcPr>
          <w:p w14:paraId="0E6D5363" w14:textId="49903BB9" w:rsidR="00BC4A9B" w:rsidRPr="00FA1EFB" w:rsidRDefault="00BC4A9B" w:rsidP="00BC4A9B">
            <w:pPr>
              <w:spacing w:after="0"/>
              <w:jc w:val="center"/>
              <w:rPr>
                <w:rFonts w:asciiTheme="majorHAnsi" w:eastAsia="Microsoft JhengHei" w:hAnsiTheme="majorHAnsi"/>
                <w:b/>
                <w:color w:val="0D0D0D"/>
                <w:lang w:eastAsia="zh-TW"/>
              </w:rPr>
            </w:pPr>
            <w:r w:rsidRPr="00FA1EFB">
              <w:rPr>
                <w:rFonts w:asciiTheme="majorHAnsi" w:eastAsia="Microsoft JhengHei" w:hAnsiTheme="majorHAnsi"/>
                <w:b/>
                <w:color w:val="0D0D0D"/>
                <w:lang w:eastAsia="zh-TW"/>
              </w:rPr>
              <w:t>67.4</w:t>
            </w:r>
          </w:p>
        </w:tc>
        <w:tc>
          <w:tcPr>
            <w:tcW w:w="1000" w:type="pct"/>
            <w:tcBorders>
              <w:top w:val="single" w:sz="4" w:space="0" w:color="auto"/>
              <w:bottom w:val="single" w:sz="4" w:space="0" w:color="000000"/>
            </w:tcBorders>
            <w:vAlign w:val="center"/>
          </w:tcPr>
          <w:p w14:paraId="1324C75F" w14:textId="3FED093B" w:rsidR="00BC4A9B" w:rsidRPr="00FA1EFB" w:rsidRDefault="00BC4A9B" w:rsidP="00BC4A9B">
            <w:pPr>
              <w:spacing w:after="0"/>
              <w:jc w:val="center"/>
              <w:rPr>
                <w:rFonts w:asciiTheme="majorHAnsi" w:eastAsia="Microsoft JhengHei" w:hAnsiTheme="majorHAnsi"/>
                <w:b/>
                <w:color w:val="0D0D0D"/>
                <w:lang w:eastAsia="zh-TW"/>
              </w:rPr>
            </w:pPr>
            <w:r w:rsidRPr="00FA1EFB">
              <w:rPr>
                <w:rFonts w:asciiTheme="majorHAnsi" w:eastAsia="Microsoft JhengHei" w:hAnsiTheme="majorHAnsi"/>
                <w:b/>
                <w:bCs/>
                <w:color w:val="0D0D0D"/>
                <w:lang w:eastAsia="zh-TW"/>
              </w:rPr>
              <w:t>1</w:t>
            </w:r>
            <w:r w:rsidR="00202B5F" w:rsidRPr="00FA1EFB">
              <w:rPr>
                <w:rFonts w:asciiTheme="majorHAnsi" w:eastAsia="Microsoft JhengHei" w:hAnsiTheme="majorHAnsi"/>
                <w:b/>
                <w:bCs/>
                <w:color w:val="0D0D0D"/>
                <w:lang w:eastAsia="zh-TW"/>
              </w:rPr>
              <w:t>6</w:t>
            </w:r>
            <w:r w:rsidRPr="00FA1EFB">
              <w:rPr>
                <w:rFonts w:asciiTheme="majorHAnsi" w:eastAsia="Microsoft JhengHei" w:hAnsiTheme="majorHAnsi"/>
                <w:b/>
                <w:color w:val="0D0D0D"/>
                <w:lang w:eastAsia="zh-TW"/>
              </w:rPr>
              <w:t>%</w:t>
            </w:r>
          </w:p>
        </w:tc>
        <w:tc>
          <w:tcPr>
            <w:tcW w:w="1000" w:type="pct"/>
            <w:tcBorders>
              <w:top w:val="single" w:sz="4" w:space="0" w:color="auto"/>
              <w:bottom w:val="single" w:sz="4" w:space="0" w:color="000000"/>
            </w:tcBorders>
            <w:noWrap/>
            <w:vAlign w:val="center"/>
          </w:tcPr>
          <w:p w14:paraId="05014927" w14:textId="038800D7" w:rsidR="00BC4A9B" w:rsidRPr="00FA1EFB" w:rsidRDefault="00BC4A9B" w:rsidP="00BC4A9B">
            <w:pPr>
              <w:spacing w:after="0"/>
              <w:jc w:val="center"/>
              <w:rPr>
                <w:rFonts w:asciiTheme="majorHAnsi" w:eastAsia="Microsoft JhengHei" w:hAnsiTheme="majorHAnsi"/>
                <w:b/>
                <w:color w:val="0D0D0D"/>
                <w:lang w:eastAsia="zh-TW"/>
              </w:rPr>
            </w:pPr>
            <w:r w:rsidRPr="00FA1EFB">
              <w:rPr>
                <w:rFonts w:asciiTheme="majorHAnsi" w:eastAsia="Microsoft JhengHei" w:hAnsiTheme="majorHAnsi"/>
                <w:b/>
                <w:color w:val="0D0D0D"/>
                <w:lang w:eastAsia="zh-TW"/>
              </w:rPr>
              <w:t>10.</w:t>
            </w:r>
            <w:r w:rsidR="00520B58" w:rsidRPr="00FA1EFB">
              <w:rPr>
                <w:rFonts w:asciiTheme="majorHAnsi" w:eastAsia="Microsoft JhengHei" w:hAnsiTheme="majorHAnsi"/>
                <w:b/>
                <w:bCs/>
                <w:color w:val="0D0D0D"/>
                <w:lang w:eastAsia="zh-TW"/>
              </w:rPr>
              <w:t>5</w:t>
            </w:r>
          </w:p>
        </w:tc>
      </w:tr>
    </w:tbl>
    <w:p w14:paraId="1C7B6B54" w14:textId="77777777" w:rsidR="00BC4A9B" w:rsidRPr="00BC4A9B" w:rsidRDefault="00BC4A9B" w:rsidP="00B429D5"/>
    <w:p w14:paraId="5B04C073" w14:textId="77777777" w:rsidR="003E75EF" w:rsidRDefault="003E75EF">
      <w:pPr>
        <w:spacing w:after="0"/>
        <w:rPr>
          <w:rFonts w:asciiTheme="majorHAnsi" w:eastAsiaTheme="majorEastAsia" w:hAnsiTheme="majorHAnsi" w:cstheme="majorBidi"/>
          <w:color w:val="10437F" w:themeColor="accent1" w:themeShade="BF"/>
          <w:sz w:val="32"/>
          <w:szCs w:val="32"/>
        </w:rPr>
      </w:pPr>
      <w:r>
        <w:br w:type="page"/>
      </w:r>
    </w:p>
    <w:p w14:paraId="6FE2C148" w14:textId="4D29E360" w:rsidR="00FB1A76" w:rsidRDefault="00FB1A76" w:rsidP="00FB1A76">
      <w:pPr>
        <w:pStyle w:val="Heading1"/>
        <w:rPr>
          <w:kern w:val="36"/>
          <w14:ligatures w14:val="standardContextual"/>
        </w:rPr>
      </w:pPr>
      <w:r>
        <w:lastRenderedPageBreak/>
        <w:t>Appendix: Detailed Results Tables</w:t>
      </w:r>
    </w:p>
    <w:p w14:paraId="0097679C" w14:textId="32AA1C65" w:rsidR="00543B1E" w:rsidRPr="00DC2927" w:rsidRDefault="00543B1E" w:rsidP="00876C5F">
      <w:pPr>
        <w:pStyle w:val="CRTBodyText"/>
        <w:jc w:val="both"/>
        <w:rPr>
          <w:b/>
          <w:bCs/>
        </w:rPr>
      </w:pPr>
      <w:r w:rsidRPr="00DC2927">
        <w:rPr>
          <w:b/>
          <w:bCs/>
        </w:rPr>
        <w:t xml:space="preserve">Table </w:t>
      </w:r>
      <w:r w:rsidR="00B40936">
        <w:rPr>
          <w:b/>
          <w:bCs/>
        </w:rPr>
        <w:t>4</w:t>
      </w:r>
      <w:r w:rsidRPr="00DC2927">
        <w:rPr>
          <w:b/>
          <w:bCs/>
        </w:rPr>
        <w:t xml:space="preserve">: Total direct economic contributions of visits to </w:t>
      </w:r>
      <w:r w:rsidR="007A71B7">
        <w:rPr>
          <w:b/>
          <w:bCs/>
        </w:rPr>
        <w:t>Canal &amp; River Trust network</w:t>
      </w:r>
      <w:r w:rsidRPr="00DC2927">
        <w:rPr>
          <w:b/>
          <w:bCs/>
        </w:rPr>
        <w:t xml:space="preserve"> by impact channel, 2022</w:t>
      </w:r>
    </w:p>
    <w:tbl>
      <w:tblPr>
        <w:tblW w:w="9855" w:type="dxa"/>
        <w:tblLook w:val="04A0" w:firstRow="1" w:lastRow="0" w:firstColumn="1" w:lastColumn="0" w:noHBand="0" w:noVBand="1"/>
      </w:tblPr>
      <w:tblGrid>
        <w:gridCol w:w="2835"/>
        <w:gridCol w:w="1760"/>
        <w:gridCol w:w="1000"/>
        <w:gridCol w:w="1020"/>
        <w:gridCol w:w="1000"/>
        <w:gridCol w:w="1240"/>
        <w:gridCol w:w="1000"/>
      </w:tblGrid>
      <w:tr w:rsidR="00876C5F" w:rsidRPr="00E25697" w14:paraId="24A3E744" w14:textId="77777777" w:rsidTr="00FA1EFB">
        <w:trPr>
          <w:trHeight w:val="290"/>
        </w:trPr>
        <w:tc>
          <w:tcPr>
            <w:tcW w:w="2835" w:type="dxa"/>
            <w:tcBorders>
              <w:top w:val="nil"/>
              <w:left w:val="nil"/>
              <w:bottom w:val="single" w:sz="4" w:space="0" w:color="auto"/>
              <w:right w:val="single" w:sz="4" w:space="0" w:color="auto"/>
            </w:tcBorders>
            <w:shd w:val="clear" w:color="auto" w:fill="1950A0"/>
            <w:noWrap/>
            <w:vAlign w:val="center"/>
            <w:hideMark/>
          </w:tcPr>
          <w:p w14:paraId="6C7E8525" w14:textId="77777777" w:rsidR="00876C5F" w:rsidRPr="00FA1EFB" w:rsidRDefault="00876C5F" w:rsidP="00A50441">
            <w:pPr>
              <w:spacing w:after="0"/>
              <w:rPr>
                <w:rFonts w:asciiTheme="majorHAnsi" w:hAnsiTheme="majorHAnsi"/>
                <w:b/>
                <w:color w:val="FFFFFF" w:themeColor="background1"/>
              </w:rPr>
            </w:pPr>
            <w:r w:rsidRPr="00FA1EFB">
              <w:rPr>
                <w:rFonts w:asciiTheme="majorHAnsi" w:hAnsiTheme="majorHAnsi"/>
                <w:b/>
                <w:color w:val="FFFFFF" w:themeColor="background1"/>
              </w:rPr>
              <w:t>Impact source</w:t>
            </w:r>
          </w:p>
        </w:tc>
        <w:tc>
          <w:tcPr>
            <w:tcW w:w="1760" w:type="dxa"/>
            <w:tcBorders>
              <w:top w:val="nil"/>
              <w:left w:val="single" w:sz="4" w:space="0" w:color="auto"/>
              <w:bottom w:val="single" w:sz="4" w:space="0" w:color="auto"/>
              <w:right w:val="nil"/>
            </w:tcBorders>
            <w:shd w:val="clear" w:color="auto" w:fill="1950A0"/>
            <w:noWrap/>
            <w:vAlign w:val="center"/>
            <w:hideMark/>
          </w:tcPr>
          <w:p w14:paraId="4CC6DCA5" w14:textId="77777777" w:rsidR="00876C5F" w:rsidRPr="00FA1EFB" w:rsidRDefault="00876C5F" w:rsidP="00DC2927">
            <w:pPr>
              <w:spacing w:after="0"/>
              <w:jc w:val="right"/>
              <w:rPr>
                <w:rFonts w:asciiTheme="majorHAnsi" w:hAnsiTheme="majorHAnsi"/>
                <w:b/>
                <w:color w:val="FFFFFF" w:themeColor="background1"/>
              </w:rPr>
            </w:pPr>
            <w:r w:rsidRPr="00FA1EFB">
              <w:rPr>
                <w:rFonts w:asciiTheme="majorHAnsi" w:hAnsiTheme="majorHAnsi"/>
                <w:b/>
                <w:color w:val="FFFFFF" w:themeColor="background1"/>
              </w:rPr>
              <w:t>Expenditure (£m)</w:t>
            </w:r>
          </w:p>
        </w:tc>
        <w:tc>
          <w:tcPr>
            <w:tcW w:w="1000" w:type="dxa"/>
            <w:tcBorders>
              <w:top w:val="nil"/>
              <w:left w:val="nil"/>
              <w:bottom w:val="single" w:sz="4" w:space="0" w:color="auto"/>
              <w:right w:val="single" w:sz="4" w:space="0" w:color="auto"/>
            </w:tcBorders>
            <w:shd w:val="clear" w:color="auto" w:fill="1950A0"/>
            <w:noWrap/>
            <w:vAlign w:val="center"/>
            <w:hideMark/>
          </w:tcPr>
          <w:p w14:paraId="040B77B1" w14:textId="77777777" w:rsidR="00876C5F" w:rsidRPr="00FA1EFB" w:rsidRDefault="00876C5F" w:rsidP="00DC2927">
            <w:pPr>
              <w:spacing w:after="0"/>
              <w:jc w:val="right"/>
              <w:rPr>
                <w:rFonts w:asciiTheme="majorHAnsi" w:hAnsiTheme="majorHAnsi"/>
                <w:b/>
                <w:color w:val="FFFFFF" w:themeColor="background1"/>
              </w:rPr>
            </w:pPr>
            <w:r w:rsidRPr="00FA1EFB">
              <w:rPr>
                <w:rFonts w:asciiTheme="majorHAnsi" w:hAnsiTheme="majorHAnsi"/>
                <w:b/>
                <w:color w:val="FFFFFF" w:themeColor="background1"/>
              </w:rPr>
              <w:t>% of total</w:t>
            </w:r>
          </w:p>
        </w:tc>
        <w:tc>
          <w:tcPr>
            <w:tcW w:w="1020" w:type="dxa"/>
            <w:tcBorders>
              <w:top w:val="nil"/>
              <w:left w:val="single" w:sz="4" w:space="0" w:color="auto"/>
              <w:bottom w:val="single" w:sz="4" w:space="0" w:color="auto"/>
              <w:right w:val="nil"/>
            </w:tcBorders>
            <w:shd w:val="clear" w:color="auto" w:fill="1950A0"/>
            <w:noWrap/>
            <w:vAlign w:val="center"/>
            <w:hideMark/>
          </w:tcPr>
          <w:p w14:paraId="46FB7B4C" w14:textId="77777777" w:rsidR="00876C5F" w:rsidRPr="00FA1EFB" w:rsidRDefault="00876C5F" w:rsidP="00DC2927">
            <w:pPr>
              <w:spacing w:after="0"/>
              <w:jc w:val="right"/>
              <w:rPr>
                <w:rFonts w:asciiTheme="majorHAnsi" w:hAnsiTheme="majorHAnsi"/>
                <w:b/>
                <w:color w:val="FFFFFF" w:themeColor="background1"/>
              </w:rPr>
            </w:pPr>
            <w:r w:rsidRPr="00FA1EFB">
              <w:rPr>
                <w:rFonts w:asciiTheme="majorHAnsi" w:hAnsiTheme="majorHAnsi"/>
                <w:b/>
                <w:color w:val="FFFFFF" w:themeColor="background1"/>
              </w:rPr>
              <w:t>GVA (£m)</w:t>
            </w:r>
          </w:p>
        </w:tc>
        <w:tc>
          <w:tcPr>
            <w:tcW w:w="1000" w:type="dxa"/>
            <w:tcBorders>
              <w:top w:val="nil"/>
              <w:left w:val="nil"/>
              <w:bottom w:val="single" w:sz="4" w:space="0" w:color="auto"/>
              <w:right w:val="single" w:sz="4" w:space="0" w:color="auto"/>
            </w:tcBorders>
            <w:shd w:val="clear" w:color="auto" w:fill="1950A0"/>
            <w:noWrap/>
            <w:vAlign w:val="center"/>
            <w:hideMark/>
          </w:tcPr>
          <w:p w14:paraId="38B5DCB7" w14:textId="77777777" w:rsidR="00876C5F" w:rsidRPr="00FA1EFB" w:rsidRDefault="00876C5F" w:rsidP="00DC2927">
            <w:pPr>
              <w:spacing w:after="0"/>
              <w:jc w:val="right"/>
              <w:rPr>
                <w:rFonts w:asciiTheme="majorHAnsi" w:hAnsiTheme="majorHAnsi"/>
                <w:b/>
                <w:color w:val="FFFFFF" w:themeColor="background1"/>
              </w:rPr>
            </w:pPr>
            <w:r w:rsidRPr="00FA1EFB">
              <w:rPr>
                <w:rFonts w:asciiTheme="majorHAnsi" w:hAnsiTheme="majorHAnsi"/>
                <w:b/>
                <w:color w:val="FFFFFF" w:themeColor="background1"/>
              </w:rPr>
              <w:t>% of total</w:t>
            </w:r>
          </w:p>
        </w:tc>
        <w:tc>
          <w:tcPr>
            <w:tcW w:w="1240" w:type="dxa"/>
            <w:tcBorders>
              <w:top w:val="nil"/>
              <w:left w:val="single" w:sz="4" w:space="0" w:color="auto"/>
              <w:bottom w:val="single" w:sz="4" w:space="0" w:color="auto"/>
              <w:right w:val="nil"/>
            </w:tcBorders>
            <w:shd w:val="clear" w:color="auto" w:fill="1950A0"/>
            <w:noWrap/>
            <w:vAlign w:val="center"/>
            <w:hideMark/>
          </w:tcPr>
          <w:p w14:paraId="33E1249C" w14:textId="77777777" w:rsidR="00876C5F" w:rsidRPr="00FA1EFB" w:rsidRDefault="00876C5F" w:rsidP="00DC2927">
            <w:pPr>
              <w:spacing w:after="0"/>
              <w:jc w:val="right"/>
              <w:rPr>
                <w:rFonts w:asciiTheme="majorHAnsi" w:hAnsiTheme="majorHAnsi"/>
                <w:b/>
                <w:color w:val="FFFFFF" w:themeColor="background1"/>
              </w:rPr>
            </w:pPr>
            <w:r w:rsidRPr="00FA1EFB">
              <w:rPr>
                <w:rFonts w:asciiTheme="majorHAnsi" w:hAnsiTheme="majorHAnsi"/>
                <w:b/>
                <w:color w:val="FFFFFF" w:themeColor="background1"/>
              </w:rPr>
              <w:t>FTEs</w:t>
            </w:r>
          </w:p>
        </w:tc>
        <w:tc>
          <w:tcPr>
            <w:tcW w:w="1000" w:type="dxa"/>
            <w:tcBorders>
              <w:top w:val="nil"/>
              <w:left w:val="nil"/>
              <w:bottom w:val="single" w:sz="4" w:space="0" w:color="auto"/>
              <w:right w:val="single" w:sz="4" w:space="0" w:color="auto"/>
            </w:tcBorders>
            <w:shd w:val="clear" w:color="auto" w:fill="1950A0"/>
            <w:noWrap/>
            <w:vAlign w:val="center"/>
            <w:hideMark/>
          </w:tcPr>
          <w:p w14:paraId="5F463D20" w14:textId="77777777" w:rsidR="00876C5F" w:rsidRPr="00FA1EFB" w:rsidRDefault="00876C5F" w:rsidP="00DC2927">
            <w:pPr>
              <w:spacing w:after="0"/>
              <w:jc w:val="right"/>
              <w:rPr>
                <w:rFonts w:asciiTheme="majorHAnsi" w:hAnsiTheme="majorHAnsi"/>
                <w:b/>
                <w:color w:val="FFFFFF" w:themeColor="background1"/>
              </w:rPr>
            </w:pPr>
            <w:r w:rsidRPr="00FA1EFB">
              <w:rPr>
                <w:rFonts w:asciiTheme="majorHAnsi" w:hAnsiTheme="majorHAnsi"/>
                <w:b/>
                <w:color w:val="FFFFFF" w:themeColor="background1"/>
              </w:rPr>
              <w:t>% of total</w:t>
            </w:r>
          </w:p>
        </w:tc>
      </w:tr>
      <w:tr w:rsidR="00876C5F" w:rsidRPr="00E25697" w14:paraId="31A57C84" w14:textId="77777777" w:rsidTr="00DC2927">
        <w:trPr>
          <w:trHeight w:val="290"/>
        </w:trPr>
        <w:tc>
          <w:tcPr>
            <w:tcW w:w="2835" w:type="dxa"/>
            <w:tcBorders>
              <w:top w:val="single" w:sz="4" w:space="0" w:color="auto"/>
              <w:left w:val="nil"/>
              <w:bottom w:val="single" w:sz="4" w:space="0" w:color="auto"/>
              <w:right w:val="single" w:sz="4" w:space="0" w:color="auto"/>
            </w:tcBorders>
            <w:noWrap/>
            <w:vAlign w:val="center"/>
            <w:hideMark/>
          </w:tcPr>
          <w:p w14:paraId="7CB36D1D" w14:textId="728C97F4" w:rsidR="00876C5F" w:rsidRPr="00FA1EFB" w:rsidRDefault="00876C5F" w:rsidP="00A50441">
            <w:pPr>
              <w:spacing w:after="0"/>
              <w:rPr>
                <w:rFonts w:asciiTheme="majorHAnsi" w:hAnsiTheme="majorHAnsi"/>
                <w:b/>
                <w:i/>
              </w:rPr>
            </w:pPr>
            <w:r w:rsidRPr="00FA1EFB">
              <w:rPr>
                <w:rFonts w:asciiTheme="majorHAnsi" w:hAnsiTheme="majorHAnsi"/>
                <w:b/>
              </w:rPr>
              <w:t>Towpath visitor activity</w:t>
            </w:r>
          </w:p>
        </w:tc>
        <w:tc>
          <w:tcPr>
            <w:tcW w:w="1760" w:type="dxa"/>
            <w:tcBorders>
              <w:top w:val="single" w:sz="4" w:space="0" w:color="auto"/>
              <w:left w:val="single" w:sz="4" w:space="0" w:color="auto"/>
              <w:bottom w:val="single" w:sz="4" w:space="0" w:color="auto"/>
              <w:right w:val="nil"/>
            </w:tcBorders>
            <w:noWrap/>
            <w:vAlign w:val="center"/>
            <w:hideMark/>
          </w:tcPr>
          <w:p w14:paraId="0A6DEF0B" w14:textId="77777777" w:rsidR="00876C5F" w:rsidRPr="00FA1EFB" w:rsidRDefault="00876C5F" w:rsidP="00A50441">
            <w:pPr>
              <w:spacing w:after="0"/>
              <w:jc w:val="right"/>
              <w:rPr>
                <w:rFonts w:asciiTheme="majorHAnsi" w:hAnsiTheme="majorHAnsi"/>
                <w:b/>
              </w:rPr>
            </w:pPr>
            <w:r w:rsidRPr="00FA1EFB">
              <w:rPr>
                <w:rFonts w:asciiTheme="majorHAnsi" w:hAnsiTheme="majorHAnsi"/>
                <w:b/>
              </w:rPr>
              <w:t xml:space="preserve">9,423 </w:t>
            </w:r>
          </w:p>
        </w:tc>
        <w:tc>
          <w:tcPr>
            <w:tcW w:w="1000" w:type="dxa"/>
            <w:tcBorders>
              <w:top w:val="single" w:sz="4" w:space="0" w:color="auto"/>
              <w:left w:val="nil"/>
              <w:bottom w:val="single" w:sz="4" w:space="0" w:color="auto"/>
              <w:right w:val="single" w:sz="4" w:space="0" w:color="auto"/>
            </w:tcBorders>
            <w:noWrap/>
            <w:vAlign w:val="center"/>
            <w:hideMark/>
          </w:tcPr>
          <w:p w14:paraId="36783610" w14:textId="77777777" w:rsidR="00876C5F" w:rsidRPr="00FA1EFB" w:rsidRDefault="00876C5F" w:rsidP="00A50441">
            <w:pPr>
              <w:spacing w:after="0"/>
              <w:jc w:val="right"/>
              <w:rPr>
                <w:rFonts w:asciiTheme="majorHAnsi" w:hAnsiTheme="majorHAnsi"/>
                <w:b/>
              </w:rPr>
            </w:pPr>
            <w:r w:rsidRPr="00FA1EFB">
              <w:rPr>
                <w:rFonts w:asciiTheme="majorHAnsi" w:hAnsiTheme="majorHAnsi"/>
                <w:b/>
              </w:rPr>
              <w:t>64%</w:t>
            </w:r>
          </w:p>
        </w:tc>
        <w:tc>
          <w:tcPr>
            <w:tcW w:w="1020" w:type="dxa"/>
            <w:tcBorders>
              <w:top w:val="single" w:sz="4" w:space="0" w:color="auto"/>
              <w:left w:val="single" w:sz="4" w:space="0" w:color="auto"/>
              <w:bottom w:val="single" w:sz="4" w:space="0" w:color="auto"/>
              <w:right w:val="nil"/>
            </w:tcBorders>
            <w:noWrap/>
            <w:vAlign w:val="center"/>
            <w:hideMark/>
          </w:tcPr>
          <w:p w14:paraId="3CBEDF13" w14:textId="77777777" w:rsidR="00876C5F" w:rsidRPr="00FA1EFB" w:rsidRDefault="00876C5F" w:rsidP="00A50441">
            <w:pPr>
              <w:spacing w:after="0"/>
              <w:jc w:val="right"/>
              <w:rPr>
                <w:rFonts w:asciiTheme="majorHAnsi" w:hAnsiTheme="majorHAnsi"/>
                <w:b/>
              </w:rPr>
            </w:pPr>
            <w:r w:rsidRPr="00FA1EFB">
              <w:rPr>
                <w:rFonts w:asciiTheme="majorHAnsi" w:hAnsiTheme="majorHAnsi"/>
                <w:b/>
              </w:rPr>
              <w:t xml:space="preserve">2,945 </w:t>
            </w:r>
          </w:p>
        </w:tc>
        <w:tc>
          <w:tcPr>
            <w:tcW w:w="1000" w:type="dxa"/>
            <w:tcBorders>
              <w:top w:val="single" w:sz="4" w:space="0" w:color="auto"/>
              <w:left w:val="nil"/>
              <w:bottom w:val="single" w:sz="4" w:space="0" w:color="auto"/>
              <w:right w:val="single" w:sz="4" w:space="0" w:color="auto"/>
            </w:tcBorders>
            <w:noWrap/>
            <w:vAlign w:val="center"/>
            <w:hideMark/>
          </w:tcPr>
          <w:p w14:paraId="0180BEE3" w14:textId="77777777" w:rsidR="00876C5F" w:rsidRPr="00FA1EFB" w:rsidRDefault="00876C5F" w:rsidP="00A50441">
            <w:pPr>
              <w:spacing w:after="0"/>
              <w:jc w:val="right"/>
              <w:rPr>
                <w:rFonts w:asciiTheme="majorHAnsi" w:hAnsiTheme="majorHAnsi"/>
                <w:b/>
              </w:rPr>
            </w:pPr>
            <w:r w:rsidRPr="00FA1EFB">
              <w:rPr>
                <w:rFonts w:asciiTheme="majorHAnsi" w:hAnsiTheme="majorHAnsi"/>
                <w:b/>
              </w:rPr>
              <w:t>57%</w:t>
            </w:r>
          </w:p>
        </w:tc>
        <w:tc>
          <w:tcPr>
            <w:tcW w:w="1240" w:type="dxa"/>
            <w:tcBorders>
              <w:top w:val="single" w:sz="4" w:space="0" w:color="auto"/>
              <w:left w:val="single" w:sz="4" w:space="0" w:color="auto"/>
              <w:bottom w:val="single" w:sz="4" w:space="0" w:color="auto"/>
              <w:right w:val="nil"/>
            </w:tcBorders>
            <w:noWrap/>
            <w:vAlign w:val="center"/>
            <w:hideMark/>
          </w:tcPr>
          <w:p w14:paraId="4327BBEB" w14:textId="77777777" w:rsidR="00876C5F" w:rsidRPr="00FA1EFB" w:rsidRDefault="00876C5F" w:rsidP="00A50441">
            <w:pPr>
              <w:spacing w:after="0"/>
              <w:jc w:val="right"/>
              <w:rPr>
                <w:rFonts w:asciiTheme="majorHAnsi" w:hAnsiTheme="majorHAnsi"/>
                <w:b/>
              </w:rPr>
            </w:pPr>
            <w:r w:rsidRPr="00FA1EFB">
              <w:rPr>
                <w:rFonts w:asciiTheme="majorHAnsi" w:hAnsiTheme="majorHAnsi"/>
                <w:b/>
              </w:rPr>
              <w:t xml:space="preserve">52,700 </w:t>
            </w:r>
          </w:p>
        </w:tc>
        <w:tc>
          <w:tcPr>
            <w:tcW w:w="1000" w:type="dxa"/>
            <w:tcBorders>
              <w:top w:val="single" w:sz="4" w:space="0" w:color="auto"/>
              <w:left w:val="nil"/>
              <w:bottom w:val="single" w:sz="4" w:space="0" w:color="auto"/>
            </w:tcBorders>
            <w:noWrap/>
            <w:vAlign w:val="center"/>
            <w:hideMark/>
          </w:tcPr>
          <w:p w14:paraId="6660FBB7" w14:textId="77777777" w:rsidR="00876C5F" w:rsidRPr="00FA1EFB" w:rsidRDefault="00876C5F" w:rsidP="00A50441">
            <w:pPr>
              <w:spacing w:after="0"/>
              <w:jc w:val="right"/>
              <w:rPr>
                <w:rFonts w:asciiTheme="majorHAnsi" w:hAnsiTheme="majorHAnsi"/>
                <w:b/>
              </w:rPr>
            </w:pPr>
            <w:r w:rsidRPr="00FA1EFB">
              <w:rPr>
                <w:rFonts w:asciiTheme="majorHAnsi" w:hAnsiTheme="majorHAnsi"/>
                <w:b/>
              </w:rPr>
              <w:t>35%</w:t>
            </w:r>
          </w:p>
        </w:tc>
      </w:tr>
      <w:tr w:rsidR="00C1725D" w:rsidRPr="00E25697" w14:paraId="1C5A64D4" w14:textId="77777777" w:rsidTr="00DC2927">
        <w:trPr>
          <w:trHeight w:val="290"/>
        </w:trPr>
        <w:tc>
          <w:tcPr>
            <w:tcW w:w="2835" w:type="dxa"/>
            <w:tcBorders>
              <w:top w:val="single" w:sz="4" w:space="0" w:color="auto"/>
              <w:left w:val="nil"/>
              <w:right w:val="single" w:sz="4" w:space="0" w:color="auto"/>
            </w:tcBorders>
            <w:noWrap/>
            <w:vAlign w:val="center"/>
          </w:tcPr>
          <w:p w14:paraId="1AFC1B31" w14:textId="2A3A7744" w:rsidR="00C1725D" w:rsidRPr="00DC2927" w:rsidRDefault="00C1725D" w:rsidP="00A50441">
            <w:pPr>
              <w:spacing w:after="0"/>
            </w:pPr>
            <w:r w:rsidRPr="00DC2927">
              <w:t>Of which:</w:t>
            </w:r>
          </w:p>
        </w:tc>
        <w:tc>
          <w:tcPr>
            <w:tcW w:w="1760" w:type="dxa"/>
            <w:tcBorders>
              <w:top w:val="single" w:sz="4" w:space="0" w:color="auto"/>
              <w:left w:val="single" w:sz="4" w:space="0" w:color="auto"/>
              <w:right w:val="nil"/>
            </w:tcBorders>
            <w:noWrap/>
            <w:vAlign w:val="center"/>
          </w:tcPr>
          <w:p w14:paraId="54ABE7B0" w14:textId="77777777" w:rsidR="00C1725D" w:rsidRPr="00BD6C7B" w:rsidRDefault="00C1725D" w:rsidP="00A50441">
            <w:pPr>
              <w:spacing w:after="0"/>
              <w:jc w:val="right"/>
              <w:rPr>
                <w:b/>
                <w:bCs/>
              </w:rPr>
            </w:pPr>
          </w:p>
        </w:tc>
        <w:tc>
          <w:tcPr>
            <w:tcW w:w="1000" w:type="dxa"/>
            <w:tcBorders>
              <w:top w:val="single" w:sz="4" w:space="0" w:color="auto"/>
              <w:left w:val="nil"/>
              <w:right w:val="single" w:sz="4" w:space="0" w:color="auto"/>
            </w:tcBorders>
            <w:noWrap/>
            <w:vAlign w:val="center"/>
          </w:tcPr>
          <w:p w14:paraId="61E43050" w14:textId="77777777" w:rsidR="00C1725D" w:rsidRPr="00BD6C7B" w:rsidRDefault="00C1725D" w:rsidP="00A50441">
            <w:pPr>
              <w:spacing w:after="0"/>
              <w:jc w:val="right"/>
              <w:rPr>
                <w:b/>
                <w:bCs/>
              </w:rPr>
            </w:pPr>
          </w:p>
        </w:tc>
        <w:tc>
          <w:tcPr>
            <w:tcW w:w="1020" w:type="dxa"/>
            <w:tcBorders>
              <w:top w:val="single" w:sz="4" w:space="0" w:color="auto"/>
              <w:left w:val="single" w:sz="4" w:space="0" w:color="auto"/>
              <w:right w:val="nil"/>
            </w:tcBorders>
            <w:noWrap/>
            <w:vAlign w:val="center"/>
          </w:tcPr>
          <w:p w14:paraId="0A1E640D" w14:textId="77777777" w:rsidR="00C1725D" w:rsidRPr="00BD6C7B" w:rsidRDefault="00C1725D" w:rsidP="00A50441">
            <w:pPr>
              <w:spacing w:after="0"/>
              <w:jc w:val="right"/>
              <w:rPr>
                <w:b/>
                <w:bCs/>
              </w:rPr>
            </w:pPr>
          </w:p>
        </w:tc>
        <w:tc>
          <w:tcPr>
            <w:tcW w:w="1000" w:type="dxa"/>
            <w:tcBorders>
              <w:top w:val="single" w:sz="4" w:space="0" w:color="auto"/>
              <w:left w:val="nil"/>
              <w:right w:val="single" w:sz="4" w:space="0" w:color="auto"/>
            </w:tcBorders>
            <w:noWrap/>
            <w:vAlign w:val="center"/>
          </w:tcPr>
          <w:p w14:paraId="4AF10B48" w14:textId="77777777" w:rsidR="00C1725D" w:rsidRPr="00BD6C7B" w:rsidRDefault="00C1725D" w:rsidP="00A50441">
            <w:pPr>
              <w:spacing w:after="0"/>
              <w:jc w:val="right"/>
              <w:rPr>
                <w:b/>
                <w:bCs/>
              </w:rPr>
            </w:pPr>
          </w:p>
        </w:tc>
        <w:tc>
          <w:tcPr>
            <w:tcW w:w="1240" w:type="dxa"/>
            <w:tcBorders>
              <w:top w:val="single" w:sz="4" w:space="0" w:color="auto"/>
              <w:left w:val="single" w:sz="4" w:space="0" w:color="auto"/>
              <w:right w:val="nil"/>
            </w:tcBorders>
            <w:noWrap/>
            <w:vAlign w:val="center"/>
          </w:tcPr>
          <w:p w14:paraId="1C4AAAB7" w14:textId="77777777" w:rsidR="00C1725D" w:rsidRPr="00BD6C7B" w:rsidRDefault="00C1725D" w:rsidP="00A50441">
            <w:pPr>
              <w:spacing w:after="0"/>
              <w:jc w:val="right"/>
              <w:rPr>
                <w:b/>
                <w:bCs/>
              </w:rPr>
            </w:pPr>
          </w:p>
        </w:tc>
        <w:tc>
          <w:tcPr>
            <w:tcW w:w="1000" w:type="dxa"/>
            <w:tcBorders>
              <w:top w:val="single" w:sz="4" w:space="0" w:color="auto"/>
              <w:left w:val="nil"/>
            </w:tcBorders>
            <w:noWrap/>
            <w:vAlign w:val="center"/>
          </w:tcPr>
          <w:p w14:paraId="7783F4FC" w14:textId="77777777" w:rsidR="00C1725D" w:rsidRPr="00BD6C7B" w:rsidRDefault="00C1725D" w:rsidP="00A50441">
            <w:pPr>
              <w:spacing w:after="0"/>
              <w:jc w:val="right"/>
              <w:rPr>
                <w:b/>
                <w:bCs/>
              </w:rPr>
            </w:pPr>
          </w:p>
        </w:tc>
      </w:tr>
      <w:tr w:rsidR="00876C5F" w:rsidRPr="00E25697" w14:paraId="1C6EE997" w14:textId="77777777" w:rsidTr="00DC2927">
        <w:trPr>
          <w:trHeight w:val="290"/>
        </w:trPr>
        <w:tc>
          <w:tcPr>
            <w:tcW w:w="2835" w:type="dxa"/>
            <w:tcBorders>
              <w:left w:val="nil"/>
              <w:bottom w:val="nil"/>
              <w:right w:val="single" w:sz="4" w:space="0" w:color="auto"/>
            </w:tcBorders>
            <w:noWrap/>
            <w:vAlign w:val="center"/>
            <w:hideMark/>
          </w:tcPr>
          <w:p w14:paraId="34A6900C" w14:textId="77777777" w:rsidR="00876C5F" w:rsidRPr="00A5042E" w:rsidRDefault="00876C5F" w:rsidP="00DC2927">
            <w:pPr>
              <w:spacing w:after="0"/>
            </w:pPr>
            <w:r w:rsidRPr="00A5042E">
              <w:t>International towpath visitor activity</w:t>
            </w:r>
          </w:p>
        </w:tc>
        <w:tc>
          <w:tcPr>
            <w:tcW w:w="1760" w:type="dxa"/>
            <w:tcBorders>
              <w:left w:val="single" w:sz="4" w:space="0" w:color="auto"/>
              <w:bottom w:val="nil"/>
              <w:right w:val="nil"/>
            </w:tcBorders>
            <w:noWrap/>
            <w:vAlign w:val="center"/>
            <w:hideMark/>
          </w:tcPr>
          <w:p w14:paraId="74F0E9C2" w14:textId="77777777" w:rsidR="00876C5F" w:rsidRPr="00E25697" w:rsidRDefault="00876C5F" w:rsidP="00A50441">
            <w:pPr>
              <w:spacing w:after="0"/>
              <w:jc w:val="right"/>
            </w:pPr>
            <w:r w:rsidRPr="00E25697">
              <w:t xml:space="preserve">124 </w:t>
            </w:r>
          </w:p>
        </w:tc>
        <w:tc>
          <w:tcPr>
            <w:tcW w:w="1000" w:type="dxa"/>
            <w:tcBorders>
              <w:left w:val="nil"/>
              <w:bottom w:val="nil"/>
              <w:right w:val="single" w:sz="4" w:space="0" w:color="auto"/>
            </w:tcBorders>
            <w:noWrap/>
            <w:vAlign w:val="center"/>
            <w:hideMark/>
          </w:tcPr>
          <w:p w14:paraId="5944A9AB" w14:textId="1F25E9F3" w:rsidR="00876C5F" w:rsidRPr="00E25697" w:rsidRDefault="00DC3400" w:rsidP="00A50441">
            <w:pPr>
              <w:spacing w:after="0"/>
              <w:jc w:val="right"/>
            </w:pPr>
            <w:r>
              <w:t>&lt;</w:t>
            </w:r>
            <w:r w:rsidR="00876C5F" w:rsidRPr="00E25697">
              <w:t>1%</w:t>
            </w:r>
          </w:p>
        </w:tc>
        <w:tc>
          <w:tcPr>
            <w:tcW w:w="1020" w:type="dxa"/>
            <w:tcBorders>
              <w:left w:val="single" w:sz="4" w:space="0" w:color="auto"/>
              <w:bottom w:val="nil"/>
              <w:right w:val="nil"/>
            </w:tcBorders>
            <w:noWrap/>
            <w:vAlign w:val="center"/>
            <w:hideMark/>
          </w:tcPr>
          <w:p w14:paraId="3A2DD811" w14:textId="77777777" w:rsidR="00876C5F" w:rsidRPr="00E25697" w:rsidRDefault="00876C5F" w:rsidP="00A50441">
            <w:pPr>
              <w:spacing w:after="0"/>
              <w:jc w:val="right"/>
            </w:pPr>
            <w:r w:rsidRPr="00E25697">
              <w:t xml:space="preserve">38 </w:t>
            </w:r>
          </w:p>
        </w:tc>
        <w:tc>
          <w:tcPr>
            <w:tcW w:w="1000" w:type="dxa"/>
            <w:tcBorders>
              <w:left w:val="nil"/>
              <w:bottom w:val="nil"/>
              <w:right w:val="single" w:sz="4" w:space="0" w:color="auto"/>
            </w:tcBorders>
            <w:noWrap/>
            <w:vAlign w:val="center"/>
            <w:hideMark/>
          </w:tcPr>
          <w:p w14:paraId="0BC6E0F1" w14:textId="18E16F36" w:rsidR="00876C5F" w:rsidRPr="00E25697" w:rsidRDefault="00DC3400" w:rsidP="00A50441">
            <w:pPr>
              <w:spacing w:after="0"/>
              <w:jc w:val="right"/>
            </w:pPr>
            <w:r>
              <w:t>&lt;</w:t>
            </w:r>
            <w:r w:rsidR="00876C5F" w:rsidRPr="00E25697">
              <w:t>1%</w:t>
            </w:r>
          </w:p>
        </w:tc>
        <w:tc>
          <w:tcPr>
            <w:tcW w:w="1240" w:type="dxa"/>
            <w:tcBorders>
              <w:left w:val="single" w:sz="4" w:space="0" w:color="auto"/>
              <w:bottom w:val="nil"/>
              <w:right w:val="nil"/>
            </w:tcBorders>
            <w:noWrap/>
            <w:vAlign w:val="center"/>
            <w:hideMark/>
          </w:tcPr>
          <w:p w14:paraId="67B02C14" w14:textId="77777777" w:rsidR="00876C5F" w:rsidRPr="00E25697" w:rsidRDefault="00876C5F" w:rsidP="00A50441">
            <w:pPr>
              <w:spacing w:after="0"/>
              <w:jc w:val="right"/>
            </w:pPr>
            <w:r w:rsidRPr="00E25697">
              <w:t xml:space="preserve">700 </w:t>
            </w:r>
          </w:p>
        </w:tc>
        <w:tc>
          <w:tcPr>
            <w:tcW w:w="1000" w:type="dxa"/>
            <w:tcBorders>
              <w:left w:val="nil"/>
              <w:bottom w:val="nil"/>
            </w:tcBorders>
            <w:noWrap/>
            <w:vAlign w:val="center"/>
            <w:hideMark/>
          </w:tcPr>
          <w:p w14:paraId="6C97F3BF" w14:textId="16AE4DBA" w:rsidR="00876C5F" w:rsidRPr="00E25697" w:rsidRDefault="00DC3400" w:rsidP="00A50441">
            <w:pPr>
              <w:spacing w:after="0"/>
              <w:jc w:val="right"/>
            </w:pPr>
            <w:r>
              <w:t>&lt;1</w:t>
            </w:r>
            <w:r w:rsidR="00876C5F" w:rsidRPr="00E25697">
              <w:t>%</w:t>
            </w:r>
          </w:p>
        </w:tc>
      </w:tr>
      <w:tr w:rsidR="00876C5F" w:rsidRPr="00E25697" w14:paraId="6F6BC639" w14:textId="77777777" w:rsidTr="00DC2927">
        <w:trPr>
          <w:trHeight w:val="290"/>
        </w:trPr>
        <w:tc>
          <w:tcPr>
            <w:tcW w:w="2835" w:type="dxa"/>
            <w:tcBorders>
              <w:top w:val="nil"/>
              <w:left w:val="nil"/>
              <w:bottom w:val="single" w:sz="4" w:space="0" w:color="auto"/>
              <w:right w:val="single" w:sz="4" w:space="0" w:color="auto"/>
            </w:tcBorders>
            <w:noWrap/>
            <w:vAlign w:val="center"/>
            <w:hideMark/>
          </w:tcPr>
          <w:p w14:paraId="6603FB6D" w14:textId="77777777" w:rsidR="00876C5F" w:rsidRPr="00A5042E" w:rsidRDefault="00876C5F" w:rsidP="00A50441">
            <w:pPr>
              <w:spacing w:after="0"/>
            </w:pPr>
            <w:r w:rsidRPr="00A5042E">
              <w:t>Domestic towpath visitor activity</w:t>
            </w:r>
          </w:p>
        </w:tc>
        <w:tc>
          <w:tcPr>
            <w:tcW w:w="1760" w:type="dxa"/>
            <w:tcBorders>
              <w:top w:val="nil"/>
              <w:left w:val="single" w:sz="4" w:space="0" w:color="auto"/>
              <w:bottom w:val="single" w:sz="4" w:space="0" w:color="auto"/>
              <w:right w:val="nil"/>
            </w:tcBorders>
            <w:noWrap/>
            <w:vAlign w:val="center"/>
            <w:hideMark/>
          </w:tcPr>
          <w:p w14:paraId="41D17FEE" w14:textId="77777777" w:rsidR="00876C5F" w:rsidRPr="00876C5F" w:rsidRDefault="00876C5F" w:rsidP="00A50441">
            <w:pPr>
              <w:spacing w:after="0"/>
              <w:jc w:val="right"/>
            </w:pPr>
            <w:r w:rsidRPr="00876C5F">
              <w:t xml:space="preserve">9,299 </w:t>
            </w:r>
          </w:p>
        </w:tc>
        <w:tc>
          <w:tcPr>
            <w:tcW w:w="1000" w:type="dxa"/>
            <w:tcBorders>
              <w:top w:val="nil"/>
              <w:left w:val="nil"/>
              <w:bottom w:val="single" w:sz="4" w:space="0" w:color="auto"/>
              <w:right w:val="single" w:sz="4" w:space="0" w:color="auto"/>
            </w:tcBorders>
            <w:noWrap/>
            <w:vAlign w:val="center"/>
            <w:hideMark/>
          </w:tcPr>
          <w:p w14:paraId="1D25A68E" w14:textId="77777777" w:rsidR="00876C5F" w:rsidRPr="00876C5F" w:rsidRDefault="00876C5F" w:rsidP="00A50441">
            <w:pPr>
              <w:spacing w:after="0"/>
              <w:jc w:val="right"/>
            </w:pPr>
            <w:r w:rsidRPr="00876C5F">
              <w:t>63%</w:t>
            </w:r>
          </w:p>
        </w:tc>
        <w:tc>
          <w:tcPr>
            <w:tcW w:w="1020" w:type="dxa"/>
            <w:tcBorders>
              <w:top w:val="nil"/>
              <w:left w:val="single" w:sz="4" w:space="0" w:color="auto"/>
              <w:bottom w:val="single" w:sz="4" w:space="0" w:color="auto"/>
              <w:right w:val="nil"/>
            </w:tcBorders>
            <w:noWrap/>
            <w:vAlign w:val="center"/>
            <w:hideMark/>
          </w:tcPr>
          <w:p w14:paraId="487347F0" w14:textId="77777777" w:rsidR="00876C5F" w:rsidRPr="00876C5F" w:rsidRDefault="00876C5F" w:rsidP="00A50441">
            <w:pPr>
              <w:spacing w:after="0"/>
              <w:jc w:val="right"/>
            </w:pPr>
            <w:r w:rsidRPr="00876C5F">
              <w:t xml:space="preserve">2,907 </w:t>
            </w:r>
          </w:p>
        </w:tc>
        <w:tc>
          <w:tcPr>
            <w:tcW w:w="1000" w:type="dxa"/>
            <w:tcBorders>
              <w:top w:val="nil"/>
              <w:left w:val="nil"/>
              <w:bottom w:val="single" w:sz="4" w:space="0" w:color="auto"/>
              <w:right w:val="single" w:sz="4" w:space="0" w:color="auto"/>
            </w:tcBorders>
            <w:noWrap/>
            <w:vAlign w:val="center"/>
            <w:hideMark/>
          </w:tcPr>
          <w:p w14:paraId="099B9E6E" w14:textId="77777777" w:rsidR="00876C5F" w:rsidRPr="00876C5F" w:rsidRDefault="00876C5F" w:rsidP="00A50441">
            <w:pPr>
              <w:spacing w:after="0"/>
              <w:jc w:val="right"/>
            </w:pPr>
            <w:r w:rsidRPr="00876C5F">
              <w:t>57%</w:t>
            </w:r>
          </w:p>
        </w:tc>
        <w:tc>
          <w:tcPr>
            <w:tcW w:w="1240" w:type="dxa"/>
            <w:tcBorders>
              <w:top w:val="nil"/>
              <w:left w:val="single" w:sz="4" w:space="0" w:color="auto"/>
              <w:bottom w:val="single" w:sz="4" w:space="0" w:color="auto"/>
              <w:right w:val="nil"/>
            </w:tcBorders>
            <w:noWrap/>
            <w:vAlign w:val="center"/>
            <w:hideMark/>
          </w:tcPr>
          <w:p w14:paraId="32198614" w14:textId="77777777" w:rsidR="00876C5F" w:rsidRPr="00876C5F" w:rsidRDefault="00876C5F" w:rsidP="00A50441">
            <w:pPr>
              <w:spacing w:after="0"/>
              <w:jc w:val="right"/>
            </w:pPr>
            <w:r w:rsidRPr="00876C5F">
              <w:t xml:space="preserve">52,000 </w:t>
            </w:r>
          </w:p>
        </w:tc>
        <w:tc>
          <w:tcPr>
            <w:tcW w:w="1000" w:type="dxa"/>
            <w:tcBorders>
              <w:top w:val="nil"/>
              <w:left w:val="nil"/>
              <w:bottom w:val="single" w:sz="4" w:space="0" w:color="auto"/>
            </w:tcBorders>
            <w:noWrap/>
            <w:vAlign w:val="center"/>
            <w:hideMark/>
          </w:tcPr>
          <w:p w14:paraId="183975E0" w14:textId="77777777" w:rsidR="00876C5F" w:rsidRPr="00876C5F" w:rsidRDefault="00876C5F" w:rsidP="00A50441">
            <w:pPr>
              <w:spacing w:after="0"/>
              <w:jc w:val="right"/>
            </w:pPr>
            <w:r w:rsidRPr="00876C5F">
              <w:t>35%</w:t>
            </w:r>
          </w:p>
        </w:tc>
      </w:tr>
      <w:tr w:rsidR="00876C5F" w:rsidRPr="00E25697" w14:paraId="13743F8B" w14:textId="77777777" w:rsidTr="00DC2927">
        <w:trPr>
          <w:trHeight w:val="290"/>
        </w:trPr>
        <w:tc>
          <w:tcPr>
            <w:tcW w:w="2835" w:type="dxa"/>
            <w:tcBorders>
              <w:top w:val="single" w:sz="4" w:space="0" w:color="auto"/>
              <w:left w:val="nil"/>
              <w:bottom w:val="single" w:sz="4" w:space="0" w:color="auto"/>
              <w:right w:val="single" w:sz="4" w:space="0" w:color="auto"/>
            </w:tcBorders>
            <w:noWrap/>
            <w:vAlign w:val="center"/>
            <w:hideMark/>
          </w:tcPr>
          <w:p w14:paraId="5179A111" w14:textId="77777777" w:rsidR="00876C5F" w:rsidRPr="00FA1EFB" w:rsidRDefault="00876C5F" w:rsidP="00A50441">
            <w:pPr>
              <w:spacing w:after="0"/>
              <w:rPr>
                <w:rFonts w:asciiTheme="majorHAnsi" w:hAnsiTheme="majorHAnsi"/>
                <w:b/>
              </w:rPr>
            </w:pPr>
            <w:r w:rsidRPr="00FA1EFB">
              <w:rPr>
                <w:rFonts w:asciiTheme="majorHAnsi" w:hAnsiTheme="majorHAnsi"/>
                <w:b/>
              </w:rPr>
              <w:t>Boating activity</w:t>
            </w:r>
          </w:p>
          <w:p w14:paraId="14A06D39" w14:textId="6DFE494A" w:rsidR="00876C5F" w:rsidRPr="00FA1EFB" w:rsidRDefault="00876C5F" w:rsidP="00A50441">
            <w:pPr>
              <w:spacing w:after="0"/>
              <w:rPr>
                <w:rFonts w:asciiTheme="majorHAnsi" w:hAnsiTheme="majorHAnsi"/>
                <w:b/>
                <w:i/>
              </w:rPr>
            </w:pPr>
          </w:p>
        </w:tc>
        <w:tc>
          <w:tcPr>
            <w:tcW w:w="1760" w:type="dxa"/>
            <w:tcBorders>
              <w:top w:val="single" w:sz="4" w:space="0" w:color="auto"/>
              <w:left w:val="single" w:sz="4" w:space="0" w:color="auto"/>
              <w:bottom w:val="single" w:sz="4" w:space="0" w:color="auto"/>
              <w:right w:val="nil"/>
            </w:tcBorders>
            <w:noWrap/>
            <w:vAlign w:val="center"/>
            <w:hideMark/>
          </w:tcPr>
          <w:p w14:paraId="698AE890" w14:textId="77777777" w:rsidR="00876C5F" w:rsidRPr="00FA1EFB" w:rsidRDefault="00876C5F" w:rsidP="00A50441">
            <w:pPr>
              <w:spacing w:after="0"/>
              <w:jc w:val="right"/>
              <w:rPr>
                <w:rFonts w:asciiTheme="majorHAnsi" w:hAnsiTheme="majorHAnsi"/>
                <w:b/>
              </w:rPr>
            </w:pPr>
            <w:r w:rsidRPr="00FA1EFB">
              <w:rPr>
                <w:rFonts w:asciiTheme="majorHAnsi" w:hAnsiTheme="majorHAnsi"/>
                <w:b/>
              </w:rPr>
              <w:t xml:space="preserve">5,220 </w:t>
            </w:r>
          </w:p>
        </w:tc>
        <w:tc>
          <w:tcPr>
            <w:tcW w:w="1000" w:type="dxa"/>
            <w:tcBorders>
              <w:top w:val="single" w:sz="4" w:space="0" w:color="auto"/>
              <w:left w:val="nil"/>
              <w:bottom w:val="single" w:sz="4" w:space="0" w:color="auto"/>
              <w:right w:val="single" w:sz="4" w:space="0" w:color="auto"/>
            </w:tcBorders>
            <w:noWrap/>
            <w:vAlign w:val="center"/>
            <w:hideMark/>
          </w:tcPr>
          <w:p w14:paraId="1108D9BF" w14:textId="77777777" w:rsidR="00876C5F" w:rsidRPr="00FA1EFB" w:rsidRDefault="00876C5F" w:rsidP="00A50441">
            <w:pPr>
              <w:spacing w:after="0"/>
              <w:jc w:val="right"/>
              <w:rPr>
                <w:rFonts w:asciiTheme="majorHAnsi" w:hAnsiTheme="majorHAnsi"/>
                <w:b/>
              </w:rPr>
            </w:pPr>
            <w:r w:rsidRPr="00FA1EFB">
              <w:rPr>
                <w:rFonts w:asciiTheme="majorHAnsi" w:hAnsiTheme="majorHAnsi"/>
                <w:b/>
              </w:rPr>
              <w:t>35%</w:t>
            </w:r>
          </w:p>
        </w:tc>
        <w:tc>
          <w:tcPr>
            <w:tcW w:w="1020" w:type="dxa"/>
            <w:tcBorders>
              <w:top w:val="single" w:sz="4" w:space="0" w:color="auto"/>
              <w:left w:val="single" w:sz="4" w:space="0" w:color="auto"/>
              <w:bottom w:val="single" w:sz="4" w:space="0" w:color="auto"/>
              <w:right w:val="nil"/>
            </w:tcBorders>
            <w:noWrap/>
            <w:vAlign w:val="center"/>
            <w:hideMark/>
          </w:tcPr>
          <w:p w14:paraId="1B962A6A" w14:textId="77777777" w:rsidR="00876C5F" w:rsidRPr="00FA1EFB" w:rsidRDefault="00876C5F" w:rsidP="00A50441">
            <w:pPr>
              <w:spacing w:after="0"/>
              <w:jc w:val="right"/>
              <w:rPr>
                <w:rFonts w:asciiTheme="majorHAnsi" w:hAnsiTheme="majorHAnsi"/>
                <w:b/>
              </w:rPr>
            </w:pPr>
            <w:r w:rsidRPr="00FA1EFB">
              <w:rPr>
                <w:rFonts w:asciiTheme="majorHAnsi" w:hAnsiTheme="majorHAnsi"/>
                <w:b/>
              </w:rPr>
              <w:t xml:space="preserve">2,152 </w:t>
            </w:r>
          </w:p>
        </w:tc>
        <w:tc>
          <w:tcPr>
            <w:tcW w:w="1000" w:type="dxa"/>
            <w:tcBorders>
              <w:top w:val="single" w:sz="4" w:space="0" w:color="auto"/>
              <w:left w:val="nil"/>
              <w:bottom w:val="single" w:sz="4" w:space="0" w:color="auto"/>
              <w:right w:val="single" w:sz="4" w:space="0" w:color="auto"/>
            </w:tcBorders>
            <w:noWrap/>
            <w:vAlign w:val="center"/>
            <w:hideMark/>
          </w:tcPr>
          <w:p w14:paraId="6AE5D68F" w14:textId="77777777" w:rsidR="00876C5F" w:rsidRPr="00FA1EFB" w:rsidRDefault="00876C5F" w:rsidP="00A50441">
            <w:pPr>
              <w:spacing w:after="0"/>
              <w:jc w:val="right"/>
              <w:rPr>
                <w:rFonts w:asciiTheme="majorHAnsi" w:hAnsiTheme="majorHAnsi"/>
                <w:b/>
              </w:rPr>
            </w:pPr>
            <w:r w:rsidRPr="00FA1EFB">
              <w:rPr>
                <w:rFonts w:asciiTheme="majorHAnsi" w:hAnsiTheme="majorHAnsi"/>
                <w:b/>
              </w:rPr>
              <w:t>42%</w:t>
            </w:r>
          </w:p>
        </w:tc>
        <w:tc>
          <w:tcPr>
            <w:tcW w:w="1240" w:type="dxa"/>
            <w:tcBorders>
              <w:top w:val="single" w:sz="4" w:space="0" w:color="auto"/>
              <w:left w:val="single" w:sz="4" w:space="0" w:color="auto"/>
              <w:bottom w:val="single" w:sz="4" w:space="0" w:color="auto"/>
              <w:right w:val="nil"/>
            </w:tcBorders>
            <w:noWrap/>
            <w:vAlign w:val="center"/>
            <w:hideMark/>
          </w:tcPr>
          <w:p w14:paraId="0E6512AE" w14:textId="77777777" w:rsidR="00876C5F" w:rsidRPr="00FA1EFB" w:rsidRDefault="00876C5F" w:rsidP="00A50441">
            <w:pPr>
              <w:spacing w:after="0"/>
              <w:jc w:val="right"/>
              <w:rPr>
                <w:rFonts w:asciiTheme="majorHAnsi" w:hAnsiTheme="majorHAnsi"/>
                <w:b/>
              </w:rPr>
            </w:pPr>
            <w:r w:rsidRPr="00FA1EFB">
              <w:rPr>
                <w:rFonts w:asciiTheme="majorHAnsi" w:hAnsiTheme="majorHAnsi"/>
                <w:b/>
              </w:rPr>
              <w:t xml:space="preserve">97,500 </w:t>
            </w:r>
          </w:p>
        </w:tc>
        <w:tc>
          <w:tcPr>
            <w:tcW w:w="1000" w:type="dxa"/>
            <w:tcBorders>
              <w:top w:val="single" w:sz="4" w:space="0" w:color="auto"/>
              <w:left w:val="nil"/>
              <w:bottom w:val="single" w:sz="4" w:space="0" w:color="auto"/>
            </w:tcBorders>
            <w:noWrap/>
            <w:vAlign w:val="center"/>
            <w:hideMark/>
          </w:tcPr>
          <w:p w14:paraId="568A51E2" w14:textId="77777777" w:rsidR="00876C5F" w:rsidRPr="00FA1EFB" w:rsidRDefault="00876C5F" w:rsidP="00A50441">
            <w:pPr>
              <w:spacing w:after="0"/>
              <w:jc w:val="right"/>
              <w:rPr>
                <w:rFonts w:asciiTheme="majorHAnsi" w:hAnsiTheme="majorHAnsi"/>
                <w:b/>
              </w:rPr>
            </w:pPr>
            <w:r w:rsidRPr="00FA1EFB">
              <w:rPr>
                <w:rFonts w:asciiTheme="majorHAnsi" w:hAnsiTheme="majorHAnsi"/>
                <w:b/>
              </w:rPr>
              <w:t>65%</w:t>
            </w:r>
          </w:p>
        </w:tc>
      </w:tr>
      <w:tr w:rsidR="00C1725D" w:rsidRPr="00E25697" w14:paraId="14E39421" w14:textId="77777777" w:rsidTr="00DC2927">
        <w:trPr>
          <w:trHeight w:val="290"/>
        </w:trPr>
        <w:tc>
          <w:tcPr>
            <w:tcW w:w="2835" w:type="dxa"/>
            <w:tcBorders>
              <w:top w:val="single" w:sz="4" w:space="0" w:color="auto"/>
              <w:left w:val="nil"/>
              <w:right w:val="single" w:sz="4" w:space="0" w:color="auto"/>
            </w:tcBorders>
            <w:noWrap/>
            <w:vAlign w:val="center"/>
          </w:tcPr>
          <w:p w14:paraId="6432D7CE" w14:textId="2A4A42A6" w:rsidR="00C1725D" w:rsidRPr="00DC2927" w:rsidRDefault="00C1725D" w:rsidP="00A50441">
            <w:pPr>
              <w:spacing w:after="0"/>
            </w:pPr>
            <w:r w:rsidRPr="00DC2927">
              <w:t>Of which:</w:t>
            </w:r>
          </w:p>
        </w:tc>
        <w:tc>
          <w:tcPr>
            <w:tcW w:w="1760" w:type="dxa"/>
            <w:tcBorders>
              <w:top w:val="single" w:sz="4" w:space="0" w:color="auto"/>
              <w:left w:val="single" w:sz="4" w:space="0" w:color="auto"/>
              <w:right w:val="nil"/>
            </w:tcBorders>
            <w:noWrap/>
            <w:vAlign w:val="center"/>
          </w:tcPr>
          <w:p w14:paraId="0D8DDB65" w14:textId="77777777" w:rsidR="00C1725D" w:rsidRPr="00C1725D" w:rsidRDefault="00C1725D" w:rsidP="00A50441">
            <w:pPr>
              <w:spacing w:after="0"/>
              <w:jc w:val="right"/>
              <w:rPr>
                <w:b/>
                <w:bCs/>
              </w:rPr>
            </w:pPr>
          </w:p>
        </w:tc>
        <w:tc>
          <w:tcPr>
            <w:tcW w:w="1000" w:type="dxa"/>
            <w:tcBorders>
              <w:top w:val="single" w:sz="4" w:space="0" w:color="auto"/>
              <w:left w:val="nil"/>
              <w:right w:val="single" w:sz="4" w:space="0" w:color="auto"/>
            </w:tcBorders>
            <w:noWrap/>
            <w:vAlign w:val="center"/>
          </w:tcPr>
          <w:p w14:paraId="16267834" w14:textId="77777777" w:rsidR="00C1725D" w:rsidRPr="00C1725D" w:rsidRDefault="00C1725D" w:rsidP="00A50441">
            <w:pPr>
              <w:spacing w:after="0"/>
              <w:jc w:val="right"/>
              <w:rPr>
                <w:b/>
                <w:bCs/>
              </w:rPr>
            </w:pPr>
          </w:p>
        </w:tc>
        <w:tc>
          <w:tcPr>
            <w:tcW w:w="1020" w:type="dxa"/>
            <w:tcBorders>
              <w:top w:val="single" w:sz="4" w:space="0" w:color="auto"/>
              <w:left w:val="single" w:sz="4" w:space="0" w:color="auto"/>
              <w:right w:val="nil"/>
            </w:tcBorders>
            <w:noWrap/>
            <w:vAlign w:val="center"/>
          </w:tcPr>
          <w:p w14:paraId="5CDE1371" w14:textId="77777777" w:rsidR="00C1725D" w:rsidRPr="00C1725D" w:rsidRDefault="00C1725D" w:rsidP="00A50441">
            <w:pPr>
              <w:spacing w:after="0"/>
              <w:jc w:val="right"/>
              <w:rPr>
                <w:b/>
                <w:bCs/>
              </w:rPr>
            </w:pPr>
          </w:p>
        </w:tc>
        <w:tc>
          <w:tcPr>
            <w:tcW w:w="1000" w:type="dxa"/>
            <w:tcBorders>
              <w:top w:val="single" w:sz="4" w:space="0" w:color="auto"/>
              <w:left w:val="nil"/>
              <w:right w:val="single" w:sz="4" w:space="0" w:color="auto"/>
            </w:tcBorders>
            <w:noWrap/>
            <w:vAlign w:val="center"/>
          </w:tcPr>
          <w:p w14:paraId="4E9CCADD" w14:textId="77777777" w:rsidR="00C1725D" w:rsidRPr="00C1725D" w:rsidRDefault="00C1725D" w:rsidP="00A50441">
            <w:pPr>
              <w:spacing w:after="0"/>
              <w:jc w:val="right"/>
              <w:rPr>
                <w:b/>
                <w:bCs/>
              </w:rPr>
            </w:pPr>
          </w:p>
        </w:tc>
        <w:tc>
          <w:tcPr>
            <w:tcW w:w="1240" w:type="dxa"/>
            <w:tcBorders>
              <w:top w:val="single" w:sz="4" w:space="0" w:color="auto"/>
              <w:left w:val="single" w:sz="4" w:space="0" w:color="auto"/>
              <w:right w:val="nil"/>
            </w:tcBorders>
            <w:noWrap/>
            <w:vAlign w:val="center"/>
          </w:tcPr>
          <w:p w14:paraId="701F60F1" w14:textId="77777777" w:rsidR="00C1725D" w:rsidRPr="00C1725D" w:rsidRDefault="00C1725D" w:rsidP="00A50441">
            <w:pPr>
              <w:spacing w:after="0"/>
              <w:jc w:val="right"/>
              <w:rPr>
                <w:b/>
                <w:bCs/>
              </w:rPr>
            </w:pPr>
          </w:p>
        </w:tc>
        <w:tc>
          <w:tcPr>
            <w:tcW w:w="1000" w:type="dxa"/>
            <w:tcBorders>
              <w:top w:val="single" w:sz="4" w:space="0" w:color="auto"/>
              <w:left w:val="nil"/>
            </w:tcBorders>
            <w:noWrap/>
            <w:vAlign w:val="center"/>
          </w:tcPr>
          <w:p w14:paraId="7ED6E386" w14:textId="77777777" w:rsidR="00C1725D" w:rsidRPr="00C1725D" w:rsidRDefault="00C1725D" w:rsidP="00A50441">
            <w:pPr>
              <w:spacing w:after="0"/>
              <w:jc w:val="right"/>
              <w:rPr>
                <w:b/>
                <w:bCs/>
              </w:rPr>
            </w:pPr>
          </w:p>
        </w:tc>
      </w:tr>
      <w:tr w:rsidR="00876C5F" w:rsidRPr="00E25697" w14:paraId="78DD0237" w14:textId="77777777" w:rsidTr="00DC2927">
        <w:trPr>
          <w:trHeight w:val="290"/>
        </w:trPr>
        <w:tc>
          <w:tcPr>
            <w:tcW w:w="2835" w:type="dxa"/>
            <w:tcBorders>
              <w:left w:val="nil"/>
              <w:bottom w:val="nil"/>
              <w:right w:val="single" w:sz="4" w:space="0" w:color="auto"/>
            </w:tcBorders>
            <w:noWrap/>
            <w:vAlign w:val="center"/>
            <w:hideMark/>
          </w:tcPr>
          <w:p w14:paraId="6DB6754F" w14:textId="6EE712D2" w:rsidR="00876C5F" w:rsidRPr="00A5042E" w:rsidRDefault="00CC4658" w:rsidP="00A50441">
            <w:pPr>
              <w:spacing w:after="0"/>
            </w:pPr>
            <w:r w:rsidRPr="00CC4658">
              <w:t>Direct boating expenditure</w:t>
            </w:r>
            <w:r w:rsidRPr="00CC4658" w:rsidDel="00CC4658">
              <w:t xml:space="preserve"> </w:t>
            </w:r>
          </w:p>
        </w:tc>
        <w:tc>
          <w:tcPr>
            <w:tcW w:w="1760" w:type="dxa"/>
            <w:tcBorders>
              <w:left w:val="single" w:sz="4" w:space="0" w:color="auto"/>
              <w:bottom w:val="nil"/>
              <w:right w:val="nil"/>
            </w:tcBorders>
            <w:noWrap/>
            <w:vAlign w:val="center"/>
            <w:hideMark/>
          </w:tcPr>
          <w:p w14:paraId="0BBF5249" w14:textId="77777777" w:rsidR="00876C5F" w:rsidRPr="00E25697" w:rsidRDefault="00876C5F" w:rsidP="00A50441">
            <w:pPr>
              <w:spacing w:after="0"/>
              <w:jc w:val="right"/>
            </w:pPr>
            <w:r w:rsidRPr="00E25697">
              <w:t xml:space="preserve">1,034 </w:t>
            </w:r>
          </w:p>
        </w:tc>
        <w:tc>
          <w:tcPr>
            <w:tcW w:w="1000" w:type="dxa"/>
            <w:tcBorders>
              <w:left w:val="nil"/>
              <w:bottom w:val="nil"/>
              <w:right w:val="single" w:sz="4" w:space="0" w:color="auto"/>
            </w:tcBorders>
            <w:noWrap/>
            <w:vAlign w:val="center"/>
            <w:hideMark/>
          </w:tcPr>
          <w:p w14:paraId="45C4744A" w14:textId="77777777" w:rsidR="00876C5F" w:rsidRPr="00E25697" w:rsidRDefault="00876C5F" w:rsidP="00A50441">
            <w:pPr>
              <w:spacing w:after="0"/>
              <w:jc w:val="right"/>
            </w:pPr>
            <w:r w:rsidRPr="00E25697">
              <w:t>7%</w:t>
            </w:r>
          </w:p>
        </w:tc>
        <w:tc>
          <w:tcPr>
            <w:tcW w:w="1020" w:type="dxa"/>
            <w:tcBorders>
              <w:left w:val="single" w:sz="4" w:space="0" w:color="auto"/>
              <w:bottom w:val="nil"/>
              <w:right w:val="nil"/>
            </w:tcBorders>
            <w:noWrap/>
            <w:vAlign w:val="center"/>
            <w:hideMark/>
          </w:tcPr>
          <w:p w14:paraId="1CAE1673" w14:textId="77777777" w:rsidR="00876C5F" w:rsidRPr="00E25697" w:rsidRDefault="00876C5F" w:rsidP="00A50441">
            <w:pPr>
              <w:spacing w:after="0"/>
              <w:jc w:val="right"/>
            </w:pPr>
            <w:r w:rsidRPr="00E25697">
              <w:t xml:space="preserve">380 </w:t>
            </w:r>
          </w:p>
        </w:tc>
        <w:tc>
          <w:tcPr>
            <w:tcW w:w="1000" w:type="dxa"/>
            <w:tcBorders>
              <w:left w:val="nil"/>
              <w:bottom w:val="nil"/>
              <w:right w:val="single" w:sz="4" w:space="0" w:color="auto"/>
            </w:tcBorders>
            <w:noWrap/>
            <w:vAlign w:val="center"/>
            <w:hideMark/>
          </w:tcPr>
          <w:p w14:paraId="5D9FEBE7" w14:textId="77777777" w:rsidR="00876C5F" w:rsidRPr="00E25697" w:rsidRDefault="00876C5F" w:rsidP="00A50441">
            <w:pPr>
              <w:spacing w:after="0"/>
              <w:jc w:val="right"/>
            </w:pPr>
            <w:r w:rsidRPr="00E25697">
              <w:t>7%</w:t>
            </w:r>
          </w:p>
        </w:tc>
        <w:tc>
          <w:tcPr>
            <w:tcW w:w="1240" w:type="dxa"/>
            <w:tcBorders>
              <w:left w:val="single" w:sz="4" w:space="0" w:color="auto"/>
              <w:bottom w:val="nil"/>
              <w:right w:val="nil"/>
            </w:tcBorders>
            <w:noWrap/>
            <w:vAlign w:val="center"/>
            <w:hideMark/>
          </w:tcPr>
          <w:p w14:paraId="5B29EA9D" w14:textId="77777777" w:rsidR="00876C5F" w:rsidRPr="00E25697" w:rsidRDefault="00876C5F" w:rsidP="00A50441">
            <w:pPr>
              <w:spacing w:after="0"/>
              <w:jc w:val="right"/>
            </w:pPr>
            <w:r w:rsidRPr="00E25697">
              <w:t xml:space="preserve">9,600 </w:t>
            </w:r>
          </w:p>
        </w:tc>
        <w:tc>
          <w:tcPr>
            <w:tcW w:w="1000" w:type="dxa"/>
            <w:tcBorders>
              <w:left w:val="nil"/>
              <w:bottom w:val="nil"/>
            </w:tcBorders>
            <w:noWrap/>
            <w:vAlign w:val="center"/>
            <w:hideMark/>
          </w:tcPr>
          <w:p w14:paraId="721A5FE0" w14:textId="77777777" w:rsidR="00876C5F" w:rsidRPr="00E25697" w:rsidRDefault="00876C5F" w:rsidP="00A50441">
            <w:pPr>
              <w:spacing w:after="0"/>
              <w:jc w:val="right"/>
            </w:pPr>
            <w:r w:rsidRPr="00E25697">
              <w:t>6%</w:t>
            </w:r>
          </w:p>
        </w:tc>
      </w:tr>
      <w:tr w:rsidR="00876C5F" w:rsidRPr="00E25697" w14:paraId="4E34A2E8" w14:textId="77777777" w:rsidTr="00DC2927">
        <w:trPr>
          <w:trHeight w:val="290"/>
        </w:trPr>
        <w:tc>
          <w:tcPr>
            <w:tcW w:w="2835" w:type="dxa"/>
            <w:tcBorders>
              <w:top w:val="nil"/>
              <w:left w:val="nil"/>
              <w:bottom w:val="single" w:sz="4" w:space="0" w:color="auto"/>
              <w:right w:val="single" w:sz="4" w:space="0" w:color="auto"/>
            </w:tcBorders>
            <w:noWrap/>
            <w:vAlign w:val="center"/>
            <w:hideMark/>
          </w:tcPr>
          <w:p w14:paraId="51AB0345" w14:textId="2D4A3378" w:rsidR="00876C5F" w:rsidRPr="00A5042E" w:rsidRDefault="00876C5F" w:rsidP="00A50441">
            <w:pPr>
              <w:spacing w:after="0"/>
            </w:pPr>
            <w:r w:rsidRPr="00A5042E">
              <w:t>Wider boating expenditure</w:t>
            </w:r>
          </w:p>
        </w:tc>
        <w:tc>
          <w:tcPr>
            <w:tcW w:w="1760" w:type="dxa"/>
            <w:tcBorders>
              <w:top w:val="nil"/>
              <w:left w:val="single" w:sz="4" w:space="0" w:color="auto"/>
              <w:bottom w:val="single" w:sz="4" w:space="0" w:color="auto"/>
              <w:right w:val="nil"/>
            </w:tcBorders>
            <w:noWrap/>
            <w:vAlign w:val="center"/>
            <w:hideMark/>
          </w:tcPr>
          <w:p w14:paraId="28A961AF" w14:textId="77777777" w:rsidR="00876C5F" w:rsidRPr="00E25697" w:rsidRDefault="00876C5F" w:rsidP="00A50441">
            <w:pPr>
              <w:spacing w:after="0"/>
              <w:jc w:val="right"/>
            </w:pPr>
            <w:r w:rsidRPr="00E25697">
              <w:t xml:space="preserve">4,186 </w:t>
            </w:r>
          </w:p>
        </w:tc>
        <w:tc>
          <w:tcPr>
            <w:tcW w:w="1000" w:type="dxa"/>
            <w:tcBorders>
              <w:top w:val="nil"/>
              <w:left w:val="nil"/>
              <w:bottom w:val="single" w:sz="4" w:space="0" w:color="auto"/>
              <w:right w:val="single" w:sz="4" w:space="0" w:color="auto"/>
            </w:tcBorders>
            <w:noWrap/>
            <w:vAlign w:val="center"/>
            <w:hideMark/>
          </w:tcPr>
          <w:p w14:paraId="05153478" w14:textId="77777777" w:rsidR="00876C5F" w:rsidRPr="00E25697" w:rsidRDefault="00876C5F" w:rsidP="00A50441">
            <w:pPr>
              <w:spacing w:after="0"/>
              <w:jc w:val="right"/>
            </w:pPr>
            <w:r w:rsidRPr="00E25697">
              <w:t>28%</w:t>
            </w:r>
          </w:p>
        </w:tc>
        <w:tc>
          <w:tcPr>
            <w:tcW w:w="1020" w:type="dxa"/>
            <w:tcBorders>
              <w:top w:val="nil"/>
              <w:left w:val="single" w:sz="4" w:space="0" w:color="auto"/>
              <w:bottom w:val="single" w:sz="4" w:space="0" w:color="auto"/>
              <w:right w:val="nil"/>
            </w:tcBorders>
            <w:noWrap/>
            <w:vAlign w:val="center"/>
            <w:hideMark/>
          </w:tcPr>
          <w:p w14:paraId="198A946C" w14:textId="77777777" w:rsidR="00876C5F" w:rsidRPr="00E25697" w:rsidRDefault="00876C5F" w:rsidP="00A50441">
            <w:pPr>
              <w:spacing w:after="0"/>
              <w:jc w:val="right"/>
            </w:pPr>
            <w:r w:rsidRPr="00E25697">
              <w:t xml:space="preserve">1,772 </w:t>
            </w:r>
          </w:p>
        </w:tc>
        <w:tc>
          <w:tcPr>
            <w:tcW w:w="1000" w:type="dxa"/>
            <w:tcBorders>
              <w:top w:val="nil"/>
              <w:left w:val="nil"/>
              <w:bottom w:val="single" w:sz="4" w:space="0" w:color="auto"/>
              <w:right w:val="single" w:sz="4" w:space="0" w:color="auto"/>
            </w:tcBorders>
            <w:noWrap/>
            <w:vAlign w:val="center"/>
            <w:hideMark/>
          </w:tcPr>
          <w:p w14:paraId="746CA8E1" w14:textId="77777777" w:rsidR="00876C5F" w:rsidRPr="00E25697" w:rsidRDefault="00876C5F" w:rsidP="00A50441">
            <w:pPr>
              <w:spacing w:after="0"/>
              <w:jc w:val="right"/>
            </w:pPr>
            <w:r w:rsidRPr="00E25697">
              <w:t>35%</w:t>
            </w:r>
          </w:p>
        </w:tc>
        <w:tc>
          <w:tcPr>
            <w:tcW w:w="1240" w:type="dxa"/>
            <w:tcBorders>
              <w:top w:val="nil"/>
              <w:left w:val="single" w:sz="4" w:space="0" w:color="auto"/>
              <w:bottom w:val="single" w:sz="4" w:space="0" w:color="auto"/>
              <w:right w:val="nil"/>
            </w:tcBorders>
            <w:noWrap/>
            <w:vAlign w:val="center"/>
            <w:hideMark/>
          </w:tcPr>
          <w:p w14:paraId="0797C20B" w14:textId="77777777" w:rsidR="00876C5F" w:rsidRPr="00E25697" w:rsidRDefault="00876C5F" w:rsidP="00A50441">
            <w:pPr>
              <w:spacing w:after="0"/>
              <w:jc w:val="right"/>
            </w:pPr>
            <w:r w:rsidRPr="00E25697">
              <w:t xml:space="preserve">87,900 </w:t>
            </w:r>
          </w:p>
        </w:tc>
        <w:tc>
          <w:tcPr>
            <w:tcW w:w="1000" w:type="dxa"/>
            <w:tcBorders>
              <w:top w:val="nil"/>
              <w:left w:val="nil"/>
              <w:bottom w:val="single" w:sz="4" w:space="0" w:color="auto"/>
            </w:tcBorders>
            <w:noWrap/>
            <w:vAlign w:val="center"/>
            <w:hideMark/>
          </w:tcPr>
          <w:p w14:paraId="63FBCEAD" w14:textId="77777777" w:rsidR="00876C5F" w:rsidRPr="00E25697" w:rsidRDefault="00876C5F" w:rsidP="00A50441">
            <w:pPr>
              <w:spacing w:after="0"/>
              <w:jc w:val="right"/>
            </w:pPr>
            <w:r w:rsidRPr="00E25697">
              <w:t>58%</w:t>
            </w:r>
          </w:p>
        </w:tc>
      </w:tr>
      <w:tr w:rsidR="00876C5F" w:rsidRPr="00E25697" w14:paraId="373CF0BD" w14:textId="77777777" w:rsidTr="00DC2927">
        <w:trPr>
          <w:trHeight w:val="290"/>
        </w:trPr>
        <w:tc>
          <w:tcPr>
            <w:tcW w:w="2835" w:type="dxa"/>
            <w:tcBorders>
              <w:top w:val="single" w:sz="4" w:space="0" w:color="auto"/>
              <w:left w:val="nil"/>
              <w:bottom w:val="nil"/>
              <w:right w:val="single" w:sz="4" w:space="0" w:color="auto"/>
            </w:tcBorders>
            <w:noWrap/>
            <w:vAlign w:val="center"/>
            <w:hideMark/>
          </w:tcPr>
          <w:p w14:paraId="545A72E0" w14:textId="77777777" w:rsidR="00876C5F" w:rsidRPr="00FA1EFB" w:rsidRDefault="00876C5F" w:rsidP="00A50441">
            <w:pPr>
              <w:spacing w:after="0"/>
              <w:rPr>
                <w:rFonts w:asciiTheme="majorHAnsi" w:hAnsiTheme="majorHAnsi"/>
                <w:b/>
              </w:rPr>
            </w:pPr>
            <w:r w:rsidRPr="00FA1EFB">
              <w:rPr>
                <w:rFonts w:asciiTheme="majorHAnsi" w:hAnsiTheme="majorHAnsi"/>
                <w:b/>
              </w:rPr>
              <w:t>Waterway construction and maintenance</w:t>
            </w:r>
          </w:p>
        </w:tc>
        <w:tc>
          <w:tcPr>
            <w:tcW w:w="1760" w:type="dxa"/>
            <w:tcBorders>
              <w:top w:val="single" w:sz="4" w:space="0" w:color="auto"/>
              <w:left w:val="single" w:sz="4" w:space="0" w:color="auto"/>
              <w:bottom w:val="nil"/>
              <w:right w:val="nil"/>
            </w:tcBorders>
            <w:noWrap/>
            <w:vAlign w:val="center"/>
            <w:hideMark/>
          </w:tcPr>
          <w:p w14:paraId="2CF5D7FD" w14:textId="77777777" w:rsidR="00876C5F" w:rsidRPr="00FA1EFB" w:rsidRDefault="00876C5F" w:rsidP="00A50441">
            <w:pPr>
              <w:spacing w:after="0"/>
              <w:jc w:val="right"/>
              <w:rPr>
                <w:rFonts w:asciiTheme="majorHAnsi" w:hAnsiTheme="majorHAnsi"/>
                <w:b/>
              </w:rPr>
            </w:pPr>
            <w:r w:rsidRPr="00FA1EFB">
              <w:rPr>
                <w:rFonts w:asciiTheme="majorHAnsi" w:hAnsiTheme="majorHAnsi"/>
                <w:b/>
              </w:rPr>
              <w:t xml:space="preserve">101 </w:t>
            </w:r>
          </w:p>
        </w:tc>
        <w:tc>
          <w:tcPr>
            <w:tcW w:w="1000" w:type="dxa"/>
            <w:tcBorders>
              <w:top w:val="single" w:sz="4" w:space="0" w:color="auto"/>
              <w:left w:val="nil"/>
              <w:bottom w:val="single" w:sz="4" w:space="0" w:color="auto"/>
              <w:right w:val="single" w:sz="4" w:space="0" w:color="auto"/>
            </w:tcBorders>
            <w:noWrap/>
            <w:vAlign w:val="center"/>
            <w:hideMark/>
          </w:tcPr>
          <w:p w14:paraId="6E6BCBDD" w14:textId="2FEED511" w:rsidR="00876C5F" w:rsidRPr="00FA1EFB" w:rsidRDefault="00805417" w:rsidP="00A50441">
            <w:pPr>
              <w:spacing w:after="0"/>
              <w:jc w:val="right"/>
              <w:rPr>
                <w:rFonts w:asciiTheme="majorHAnsi" w:hAnsiTheme="majorHAnsi"/>
                <w:b/>
              </w:rPr>
            </w:pPr>
            <w:r w:rsidRPr="00FA1EFB">
              <w:rPr>
                <w:rFonts w:asciiTheme="majorHAnsi" w:hAnsiTheme="majorHAnsi"/>
                <w:b/>
              </w:rPr>
              <w:t>&lt;</w:t>
            </w:r>
            <w:r w:rsidR="00876C5F" w:rsidRPr="00FA1EFB">
              <w:rPr>
                <w:rFonts w:asciiTheme="majorHAnsi" w:hAnsiTheme="majorHAnsi"/>
                <w:b/>
              </w:rPr>
              <w:t>1%</w:t>
            </w:r>
          </w:p>
        </w:tc>
        <w:tc>
          <w:tcPr>
            <w:tcW w:w="1020" w:type="dxa"/>
            <w:tcBorders>
              <w:top w:val="single" w:sz="4" w:space="0" w:color="auto"/>
              <w:left w:val="single" w:sz="4" w:space="0" w:color="auto"/>
              <w:bottom w:val="nil"/>
              <w:right w:val="nil"/>
            </w:tcBorders>
            <w:noWrap/>
            <w:vAlign w:val="center"/>
            <w:hideMark/>
          </w:tcPr>
          <w:p w14:paraId="3878DE03" w14:textId="77777777" w:rsidR="00876C5F" w:rsidRPr="00FA1EFB" w:rsidRDefault="00876C5F" w:rsidP="00A50441">
            <w:pPr>
              <w:spacing w:after="0"/>
              <w:jc w:val="right"/>
              <w:rPr>
                <w:rFonts w:asciiTheme="majorHAnsi" w:hAnsiTheme="majorHAnsi"/>
                <w:b/>
              </w:rPr>
            </w:pPr>
            <w:r w:rsidRPr="00FA1EFB">
              <w:rPr>
                <w:rFonts w:asciiTheme="majorHAnsi" w:hAnsiTheme="majorHAnsi"/>
                <w:b/>
              </w:rPr>
              <w:t xml:space="preserve">37 </w:t>
            </w:r>
          </w:p>
        </w:tc>
        <w:tc>
          <w:tcPr>
            <w:tcW w:w="1000" w:type="dxa"/>
            <w:tcBorders>
              <w:top w:val="single" w:sz="4" w:space="0" w:color="auto"/>
              <w:left w:val="nil"/>
              <w:bottom w:val="single" w:sz="4" w:space="0" w:color="auto"/>
              <w:right w:val="single" w:sz="4" w:space="0" w:color="auto"/>
            </w:tcBorders>
            <w:noWrap/>
            <w:vAlign w:val="center"/>
            <w:hideMark/>
          </w:tcPr>
          <w:p w14:paraId="0FE9F554" w14:textId="776E660E" w:rsidR="00876C5F" w:rsidRPr="00FA1EFB" w:rsidRDefault="00805417" w:rsidP="00A50441">
            <w:pPr>
              <w:spacing w:after="0"/>
              <w:jc w:val="right"/>
              <w:rPr>
                <w:rFonts w:asciiTheme="majorHAnsi" w:hAnsiTheme="majorHAnsi"/>
                <w:b/>
              </w:rPr>
            </w:pPr>
            <w:r w:rsidRPr="00FA1EFB">
              <w:rPr>
                <w:rFonts w:asciiTheme="majorHAnsi" w:hAnsiTheme="majorHAnsi"/>
                <w:b/>
              </w:rPr>
              <w:t>&lt;</w:t>
            </w:r>
            <w:r w:rsidR="00876C5F" w:rsidRPr="00FA1EFB">
              <w:rPr>
                <w:rFonts w:asciiTheme="majorHAnsi" w:hAnsiTheme="majorHAnsi"/>
                <w:b/>
              </w:rPr>
              <w:t>1%</w:t>
            </w:r>
          </w:p>
        </w:tc>
        <w:tc>
          <w:tcPr>
            <w:tcW w:w="1240" w:type="dxa"/>
            <w:tcBorders>
              <w:top w:val="single" w:sz="4" w:space="0" w:color="auto"/>
              <w:left w:val="single" w:sz="4" w:space="0" w:color="auto"/>
              <w:bottom w:val="nil"/>
              <w:right w:val="nil"/>
            </w:tcBorders>
            <w:noWrap/>
            <w:vAlign w:val="center"/>
            <w:hideMark/>
          </w:tcPr>
          <w:p w14:paraId="1D7561FF" w14:textId="77777777" w:rsidR="00876C5F" w:rsidRPr="00FA1EFB" w:rsidRDefault="00876C5F" w:rsidP="00A50441">
            <w:pPr>
              <w:spacing w:after="0"/>
              <w:jc w:val="right"/>
              <w:rPr>
                <w:rFonts w:asciiTheme="majorHAnsi" w:hAnsiTheme="majorHAnsi"/>
                <w:b/>
              </w:rPr>
            </w:pPr>
            <w:r w:rsidRPr="00FA1EFB">
              <w:rPr>
                <w:rFonts w:asciiTheme="majorHAnsi" w:hAnsiTheme="majorHAnsi"/>
                <w:b/>
              </w:rPr>
              <w:t xml:space="preserve">300 </w:t>
            </w:r>
          </w:p>
        </w:tc>
        <w:tc>
          <w:tcPr>
            <w:tcW w:w="1000" w:type="dxa"/>
            <w:tcBorders>
              <w:top w:val="single" w:sz="4" w:space="0" w:color="auto"/>
              <w:left w:val="nil"/>
              <w:bottom w:val="single" w:sz="4" w:space="0" w:color="auto"/>
            </w:tcBorders>
            <w:noWrap/>
            <w:vAlign w:val="center"/>
            <w:hideMark/>
          </w:tcPr>
          <w:p w14:paraId="3B3D3C3E" w14:textId="12A560B5" w:rsidR="00876C5F" w:rsidRPr="00FA1EFB" w:rsidRDefault="00805417" w:rsidP="00A50441">
            <w:pPr>
              <w:spacing w:after="0"/>
              <w:jc w:val="right"/>
              <w:rPr>
                <w:rFonts w:asciiTheme="majorHAnsi" w:hAnsiTheme="majorHAnsi"/>
                <w:b/>
              </w:rPr>
            </w:pPr>
            <w:r w:rsidRPr="00FA1EFB">
              <w:rPr>
                <w:rFonts w:asciiTheme="majorHAnsi" w:hAnsiTheme="majorHAnsi"/>
                <w:b/>
              </w:rPr>
              <w:t>&lt;1</w:t>
            </w:r>
            <w:r w:rsidR="00876C5F" w:rsidRPr="00FA1EFB">
              <w:rPr>
                <w:rFonts w:asciiTheme="majorHAnsi" w:hAnsiTheme="majorHAnsi"/>
                <w:b/>
              </w:rPr>
              <w:t>%</w:t>
            </w:r>
          </w:p>
        </w:tc>
      </w:tr>
      <w:tr w:rsidR="00876C5F" w:rsidRPr="00E25697" w14:paraId="69F2BB45" w14:textId="77777777" w:rsidTr="00DC2927">
        <w:trPr>
          <w:trHeight w:val="50"/>
        </w:trPr>
        <w:tc>
          <w:tcPr>
            <w:tcW w:w="2835" w:type="dxa"/>
            <w:tcBorders>
              <w:top w:val="single" w:sz="4" w:space="0" w:color="auto"/>
              <w:left w:val="nil"/>
              <w:bottom w:val="single" w:sz="4" w:space="0" w:color="auto"/>
              <w:right w:val="single" w:sz="4" w:space="0" w:color="auto"/>
            </w:tcBorders>
            <w:shd w:val="clear" w:color="000000" w:fill="F8F8F8"/>
            <w:noWrap/>
            <w:vAlign w:val="center"/>
            <w:hideMark/>
          </w:tcPr>
          <w:p w14:paraId="37EC50D0" w14:textId="77777777" w:rsidR="00876C5F" w:rsidRPr="00FA1EFB" w:rsidRDefault="00876C5F" w:rsidP="00A50441">
            <w:pPr>
              <w:spacing w:after="0"/>
              <w:rPr>
                <w:rFonts w:asciiTheme="majorHAnsi" w:hAnsiTheme="majorHAnsi"/>
                <w:b/>
              </w:rPr>
            </w:pPr>
            <w:r w:rsidRPr="00FA1EFB">
              <w:rPr>
                <w:rFonts w:asciiTheme="majorHAnsi" w:hAnsiTheme="majorHAnsi"/>
                <w:b/>
              </w:rPr>
              <w:t>Total</w:t>
            </w:r>
          </w:p>
        </w:tc>
        <w:tc>
          <w:tcPr>
            <w:tcW w:w="1760" w:type="dxa"/>
            <w:tcBorders>
              <w:top w:val="single" w:sz="4" w:space="0" w:color="auto"/>
              <w:left w:val="single" w:sz="4" w:space="0" w:color="auto"/>
              <w:bottom w:val="single" w:sz="4" w:space="0" w:color="auto"/>
              <w:right w:val="nil"/>
            </w:tcBorders>
            <w:shd w:val="clear" w:color="000000" w:fill="F8F8F8"/>
            <w:noWrap/>
            <w:vAlign w:val="center"/>
            <w:hideMark/>
          </w:tcPr>
          <w:p w14:paraId="7FE50058" w14:textId="77777777" w:rsidR="00876C5F" w:rsidRPr="00FA1EFB" w:rsidRDefault="00876C5F" w:rsidP="00A50441">
            <w:pPr>
              <w:spacing w:after="0"/>
              <w:jc w:val="right"/>
              <w:rPr>
                <w:rFonts w:asciiTheme="majorHAnsi" w:hAnsiTheme="majorHAnsi"/>
                <w:b/>
              </w:rPr>
            </w:pPr>
            <w:r w:rsidRPr="00FA1EFB">
              <w:rPr>
                <w:rFonts w:asciiTheme="majorHAnsi" w:hAnsiTheme="majorHAnsi"/>
                <w:b/>
              </w:rPr>
              <w:t xml:space="preserve">14,745 </w:t>
            </w:r>
          </w:p>
        </w:tc>
        <w:tc>
          <w:tcPr>
            <w:tcW w:w="1000" w:type="dxa"/>
            <w:tcBorders>
              <w:top w:val="nil"/>
              <w:left w:val="nil"/>
              <w:bottom w:val="single" w:sz="4" w:space="0" w:color="auto"/>
              <w:right w:val="single" w:sz="4" w:space="0" w:color="auto"/>
            </w:tcBorders>
            <w:shd w:val="clear" w:color="000000" w:fill="F8F8F8"/>
            <w:noWrap/>
            <w:vAlign w:val="center"/>
            <w:hideMark/>
          </w:tcPr>
          <w:p w14:paraId="0F4B266F" w14:textId="77777777" w:rsidR="00876C5F" w:rsidRPr="00FA1EFB" w:rsidRDefault="00876C5F" w:rsidP="00A50441">
            <w:pPr>
              <w:spacing w:after="0"/>
              <w:jc w:val="right"/>
              <w:rPr>
                <w:rFonts w:asciiTheme="majorHAnsi" w:hAnsiTheme="majorHAnsi"/>
                <w:b/>
              </w:rPr>
            </w:pPr>
            <w:r w:rsidRPr="00FA1EFB">
              <w:rPr>
                <w:rFonts w:asciiTheme="majorHAnsi" w:hAnsiTheme="majorHAnsi"/>
                <w:b/>
              </w:rPr>
              <w:t>100%</w:t>
            </w:r>
          </w:p>
        </w:tc>
        <w:tc>
          <w:tcPr>
            <w:tcW w:w="1020" w:type="dxa"/>
            <w:tcBorders>
              <w:top w:val="single" w:sz="4" w:space="0" w:color="auto"/>
              <w:left w:val="single" w:sz="4" w:space="0" w:color="auto"/>
              <w:bottom w:val="single" w:sz="4" w:space="0" w:color="auto"/>
              <w:right w:val="nil"/>
            </w:tcBorders>
            <w:shd w:val="clear" w:color="000000" w:fill="F8F8F8"/>
            <w:noWrap/>
            <w:vAlign w:val="center"/>
            <w:hideMark/>
          </w:tcPr>
          <w:p w14:paraId="510E2A8B" w14:textId="77777777" w:rsidR="00876C5F" w:rsidRPr="00FA1EFB" w:rsidRDefault="00876C5F" w:rsidP="00A50441">
            <w:pPr>
              <w:spacing w:after="0"/>
              <w:jc w:val="right"/>
              <w:rPr>
                <w:rFonts w:asciiTheme="majorHAnsi" w:hAnsiTheme="majorHAnsi"/>
                <w:b/>
              </w:rPr>
            </w:pPr>
            <w:r w:rsidRPr="00FA1EFB">
              <w:rPr>
                <w:rFonts w:asciiTheme="majorHAnsi" w:hAnsiTheme="majorHAnsi"/>
                <w:b/>
              </w:rPr>
              <w:t xml:space="preserve">5,134 </w:t>
            </w:r>
          </w:p>
        </w:tc>
        <w:tc>
          <w:tcPr>
            <w:tcW w:w="1000" w:type="dxa"/>
            <w:tcBorders>
              <w:top w:val="nil"/>
              <w:left w:val="nil"/>
              <w:bottom w:val="single" w:sz="4" w:space="0" w:color="auto"/>
              <w:right w:val="single" w:sz="4" w:space="0" w:color="auto"/>
            </w:tcBorders>
            <w:shd w:val="clear" w:color="000000" w:fill="F8F8F8"/>
            <w:noWrap/>
            <w:vAlign w:val="center"/>
            <w:hideMark/>
          </w:tcPr>
          <w:p w14:paraId="2782F582" w14:textId="77777777" w:rsidR="00876C5F" w:rsidRPr="00FA1EFB" w:rsidRDefault="00876C5F" w:rsidP="00A50441">
            <w:pPr>
              <w:spacing w:after="0"/>
              <w:jc w:val="right"/>
              <w:rPr>
                <w:rFonts w:asciiTheme="majorHAnsi" w:hAnsiTheme="majorHAnsi"/>
                <w:b/>
              </w:rPr>
            </w:pPr>
            <w:r w:rsidRPr="00FA1EFB">
              <w:rPr>
                <w:rFonts w:asciiTheme="majorHAnsi" w:hAnsiTheme="majorHAnsi"/>
                <w:b/>
              </w:rPr>
              <w:t>100%</w:t>
            </w:r>
          </w:p>
        </w:tc>
        <w:tc>
          <w:tcPr>
            <w:tcW w:w="1240" w:type="dxa"/>
            <w:tcBorders>
              <w:top w:val="single" w:sz="4" w:space="0" w:color="auto"/>
              <w:left w:val="single" w:sz="4" w:space="0" w:color="auto"/>
              <w:bottom w:val="single" w:sz="4" w:space="0" w:color="auto"/>
              <w:right w:val="nil"/>
            </w:tcBorders>
            <w:shd w:val="clear" w:color="000000" w:fill="F8F8F8"/>
            <w:noWrap/>
            <w:vAlign w:val="center"/>
            <w:hideMark/>
          </w:tcPr>
          <w:p w14:paraId="66113BFD" w14:textId="77777777" w:rsidR="00876C5F" w:rsidRPr="00FA1EFB" w:rsidRDefault="00876C5F" w:rsidP="00A50441">
            <w:pPr>
              <w:spacing w:after="0"/>
              <w:jc w:val="right"/>
              <w:rPr>
                <w:rFonts w:asciiTheme="majorHAnsi" w:hAnsiTheme="majorHAnsi"/>
                <w:b/>
              </w:rPr>
            </w:pPr>
            <w:r w:rsidRPr="00FA1EFB">
              <w:rPr>
                <w:rFonts w:asciiTheme="majorHAnsi" w:hAnsiTheme="majorHAnsi"/>
                <w:b/>
              </w:rPr>
              <w:t xml:space="preserve">150,400 </w:t>
            </w:r>
          </w:p>
        </w:tc>
        <w:tc>
          <w:tcPr>
            <w:tcW w:w="1000" w:type="dxa"/>
            <w:tcBorders>
              <w:top w:val="nil"/>
              <w:left w:val="nil"/>
              <w:bottom w:val="single" w:sz="4" w:space="0" w:color="auto"/>
            </w:tcBorders>
            <w:shd w:val="clear" w:color="000000" w:fill="F8F8F8"/>
            <w:noWrap/>
            <w:vAlign w:val="center"/>
            <w:hideMark/>
          </w:tcPr>
          <w:p w14:paraId="3E3748DA" w14:textId="77777777" w:rsidR="00876C5F" w:rsidRPr="00FA1EFB" w:rsidRDefault="00876C5F" w:rsidP="00A50441">
            <w:pPr>
              <w:spacing w:after="0"/>
              <w:jc w:val="right"/>
              <w:rPr>
                <w:rFonts w:asciiTheme="majorHAnsi" w:hAnsiTheme="majorHAnsi"/>
                <w:b/>
              </w:rPr>
            </w:pPr>
            <w:r w:rsidRPr="00FA1EFB">
              <w:rPr>
                <w:rFonts w:asciiTheme="majorHAnsi" w:hAnsiTheme="majorHAnsi"/>
                <w:b/>
              </w:rPr>
              <w:t>100%</w:t>
            </w:r>
          </w:p>
        </w:tc>
      </w:tr>
    </w:tbl>
    <w:p w14:paraId="5833FAF9" w14:textId="77777777" w:rsidR="009B5E6F" w:rsidRPr="00F3081F" w:rsidRDefault="009B5E6F" w:rsidP="00F3081F">
      <w:pPr>
        <w:pStyle w:val="CRTBodyText"/>
        <w:jc w:val="both"/>
        <w:rPr>
          <w:b/>
          <w:bCs/>
          <w:color w:val="165BAA" w:themeColor="accent1"/>
        </w:rPr>
      </w:pPr>
    </w:p>
    <w:p w14:paraId="2FBC0AD1" w14:textId="5969947F" w:rsidR="009D4557" w:rsidRDefault="00E67148" w:rsidP="00E25697">
      <w:pPr>
        <w:rPr>
          <w:b/>
          <w:bCs/>
        </w:rPr>
      </w:pPr>
      <w:r w:rsidRPr="00DC2927">
        <w:rPr>
          <w:b/>
          <w:bCs/>
        </w:rPr>
        <w:t xml:space="preserve">Table </w:t>
      </w:r>
      <w:r w:rsidR="00B40936">
        <w:rPr>
          <w:b/>
          <w:bCs/>
        </w:rPr>
        <w:t>5</w:t>
      </w:r>
      <w:r w:rsidRPr="00DC2927">
        <w:rPr>
          <w:b/>
          <w:bCs/>
        </w:rPr>
        <w:t>: Aggregate economic contribution of C</w:t>
      </w:r>
      <w:r w:rsidR="007A71B7">
        <w:rPr>
          <w:b/>
          <w:bCs/>
        </w:rPr>
        <w:t>anal &amp; River Trust network</w:t>
      </w:r>
      <w:r w:rsidRPr="00DC2927">
        <w:rPr>
          <w:b/>
          <w:bCs/>
        </w:rPr>
        <w:t xml:space="preserve"> by </w:t>
      </w:r>
      <w:r w:rsidR="00D74580">
        <w:rPr>
          <w:b/>
          <w:bCs/>
        </w:rPr>
        <w:t>economic activity</w:t>
      </w:r>
      <w:r w:rsidR="00D74580" w:rsidRPr="00DC2927">
        <w:rPr>
          <w:b/>
          <w:bCs/>
        </w:rPr>
        <w:t xml:space="preserve"> </w:t>
      </w:r>
      <w:r w:rsidRPr="00DC2927">
        <w:rPr>
          <w:b/>
          <w:bCs/>
        </w:rPr>
        <w:t>measure, 2022</w:t>
      </w:r>
    </w:p>
    <w:tbl>
      <w:tblPr>
        <w:tblW w:w="9701" w:type="dxa"/>
        <w:tblLook w:val="04A0" w:firstRow="1" w:lastRow="0" w:firstColumn="1" w:lastColumn="0" w:noHBand="0" w:noVBand="1"/>
      </w:tblPr>
      <w:tblGrid>
        <w:gridCol w:w="2127"/>
        <w:gridCol w:w="1451"/>
        <w:gridCol w:w="2041"/>
        <w:gridCol w:w="2041"/>
        <w:gridCol w:w="2041"/>
      </w:tblGrid>
      <w:tr w:rsidR="007F6CBD" w:rsidRPr="007F6CBD" w14:paraId="5186A8A8" w14:textId="77777777" w:rsidTr="00FA1EFB">
        <w:trPr>
          <w:trHeight w:val="498"/>
        </w:trPr>
        <w:tc>
          <w:tcPr>
            <w:tcW w:w="2127" w:type="dxa"/>
            <w:tcBorders>
              <w:top w:val="nil"/>
              <w:left w:val="nil"/>
              <w:right w:val="nil"/>
            </w:tcBorders>
            <w:shd w:val="clear" w:color="auto" w:fill="1950A0"/>
            <w:noWrap/>
            <w:vAlign w:val="center"/>
            <w:hideMark/>
          </w:tcPr>
          <w:p w14:paraId="548F0D4D" w14:textId="58C126E0" w:rsidR="007F6CBD" w:rsidRPr="00FA1EFB" w:rsidRDefault="00D74580" w:rsidP="007F6CBD">
            <w:pPr>
              <w:spacing w:after="0"/>
              <w:rPr>
                <w:rFonts w:asciiTheme="majorHAnsi" w:hAnsiTheme="majorHAnsi"/>
                <w:b/>
                <w:color w:val="FFFFFF"/>
              </w:rPr>
            </w:pPr>
            <w:r>
              <w:rPr>
                <w:rFonts w:asciiTheme="majorHAnsi" w:hAnsiTheme="majorHAnsi"/>
                <w:b/>
                <w:color w:val="FFFFFF"/>
              </w:rPr>
              <w:t>Economic activity</w:t>
            </w:r>
            <w:r w:rsidRPr="00FA1EFB">
              <w:rPr>
                <w:rFonts w:asciiTheme="majorHAnsi" w:hAnsiTheme="majorHAnsi"/>
                <w:b/>
                <w:color w:val="FFFFFF"/>
              </w:rPr>
              <w:t xml:space="preserve"> </w:t>
            </w:r>
            <w:r w:rsidR="007F6CBD" w:rsidRPr="00FA1EFB">
              <w:rPr>
                <w:rFonts w:asciiTheme="majorHAnsi" w:hAnsiTheme="majorHAnsi"/>
                <w:b/>
                <w:color w:val="FFFFFF"/>
              </w:rPr>
              <w:t>measure</w:t>
            </w:r>
          </w:p>
        </w:tc>
        <w:tc>
          <w:tcPr>
            <w:tcW w:w="1451" w:type="dxa"/>
            <w:tcBorders>
              <w:top w:val="nil"/>
              <w:left w:val="nil"/>
              <w:right w:val="nil"/>
            </w:tcBorders>
            <w:shd w:val="clear" w:color="auto" w:fill="1950A0"/>
            <w:noWrap/>
            <w:vAlign w:val="center"/>
            <w:hideMark/>
          </w:tcPr>
          <w:p w14:paraId="0EFE14B9" w14:textId="77777777" w:rsidR="007F6CBD" w:rsidRPr="00FA1EFB" w:rsidRDefault="007F6CBD" w:rsidP="00DC2927">
            <w:pPr>
              <w:spacing w:after="0"/>
              <w:jc w:val="right"/>
              <w:rPr>
                <w:rFonts w:asciiTheme="majorHAnsi" w:hAnsiTheme="majorHAnsi"/>
                <w:b/>
                <w:color w:val="FFFFFF"/>
              </w:rPr>
            </w:pPr>
            <w:r w:rsidRPr="00FA1EFB">
              <w:rPr>
                <w:rFonts w:asciiTheme="majorHAnsi" w:hAnsiTheme="majorHAnsi"/>
                <w:b/>
                <w:color w:val="FFFFFF"/>
              </w:rPr>
              <w:t>Direct</w:t>
            </w:r>
          </w:p>
        </w:tc>
        <w:tc>
          <w:tcPr>
            <w:tcW w:w="2041" w:type="dxa"/>
            <w:tcBorders>
              <w:top w:val="nil"/>
              <w:left w:val="nil"/>
              <w:right w:val="nil"/>
            </w:tcBorders>
            <w:shd w:val="clear" w:color="auto" w:fill="1950A0"/>
            <w:noWrap/>
            <w:vAlign w:val="center"/>
            <w:hideMark/>
          </w:tcPr>
          <w:p w14:paraId="446DB734" w14:textId="77777777" w:rsidR="007F6CBD" w:rsidRPr="00FA1EFB" w:rsidRDefault="007F6CBD" w:rsidP="00DC2927">
            <w:pPr>
              <w:spacing w:after="0"/>
              <w:jc w:val="right"/>
              <w:rPr>
                <w:rFonts w:asciiTheme="majorHAnsi" w:hAnsiTheme="majorHAnsi"/>
                <w:b/>
                <w:color w:val="FFFFFF"/>
              </w:rPr>
            </w:pPr>
            <w:r w:rsidRPr="00FA1EFB">
              <w:rPr>
                <w:rFonts w:asciiTheme="majorHAnsi" w:hAnsiTheme="majorHAnsi"/>
                <w:b/>
                <w:color w:val="FFFFFF"/>
              </w:rPr>
              <w:t>Indirect</w:t>
            </w:r>
          </w:p>
        </w:tc>
        <w:tc>
          <w:tcPr>
            <w:tcW w:w="2041" w:type="dxa"/>
            <w:tcBorders>
              <w:top w:val="nil"/>
              <w:left w:val="nil"/>
              <w:right w:val="nil"/>
            </w:tcBorders>
            <w:shd w:val="clear" w:color="auto" w:fill="1950A0"/>
            <w:noWrap/>
            <w:vAlign w:val="center"/>
            <w:hideMark/>
          </w:tcPr>
          <w:p w14:paraId="401A0FFF" w14:textId="77777777" w:rsidR="007F6CBD" w:rsidRPr="00FA1EFB" w:rsidRDefault="007F6CBD" w:rsidP="00DC2927">
            <w:pPr>
              <w:spacing w:after="0"/>
              <w:jc w:val="right"/>
              <w:rPr>
                <w:rFonts w:asciiTheme="majorHAnsi" w:hAnsiTheme="majorHAnsi"/>
                <w:b/>
                <w:color w:val="FFFFFF"/>
              </w:rPr>
            </w:pPr>
            <w:r w:rsidRPr="00FA1EFB">
              <w:rPr>
                <w:rFonts w:asciiTheme="majorHAnsi" w:hAnsiTheme="majorHAnsi"/>
                <w:b/>
                <w:color w:val="FFFFFF"/>
              </w:rPr>
              <w:t>Induced</w:t>
            </w:r>
          </w:p>
        </w:tc>
        <w:tc>
          <w:tcPr>
            <w:tcW w:w="2041" w:type="dxa"/>
            <w:tcBorders>
              <w:top w:val="nil"/>
              <w:left w:val="nil"/>
              <w:right w:val="nil"/>
            </w:tcBorders>
            <w:shd w:val="clear" w:color="auto" w:fill="1950A0"/>
            <w:noWrap/>
            <w:vAlign w:val="center"/>
            <w:hideMark/>
          </w:tcPr>
          <w:p w14:paraId="42E475C4" w14:textId="77777777" w:rsidR="007F6CBD" w:rsidRPr="00FA1EFB" w:rsidRDefault="007F6CBD" w:rsidP="00DC2927">
            <w:pPr>
              <w:spacing w:after="0"/>
              <w:jc w:val="right"/>
              <w:rPr>
                <w:rFonts w:asciiTheme="majorHAnsi" w:hAnsiTheme="majorHAnsi"/>
                <w:b/>
                <w:color w:val="FFFFFF"/>
              </w:rPr>
            </w:pPr>
            <w:r w:rsidRPr="00FA1EFB">
              <w:rPr>
                <w:rFonts w:asciiTheme="majorHAnsi" w:hAnsiTheme="majorHAnsi"/>
                <w:b/>
                <w:color w:val="FFFFFF"/>
              </w:rPr>
              <w:t>Aggregate</w:t>
            </w:r>
          </w:p>
        </w:tc>
      </w:tr>
      <w:tr w:rsidR="007F6CBD" w:rsidRPr="007F6CBD" w14:paraId="7A0CFF7C" w14:textId="77777777" w:rsidTr="00DC2927">
        <w:trPr>
          <w:trHeight w:val="290"/>
        </w:trPr>
        <w:tc>
          <w:tcPr>
            <w:tcW w:w="2127" w:type="dxa"/>
            <w:tcBorders>
              <w:top w:val="nil"/>
              <w:left w:val="nil"/>
              <w:bottom w:val="single" w:sz="4" w:space="0" w:color="auto"/>
              <w:right w:val="nil"/>
            </w:tcBorders>
            <w:noWrap/>
            <w:vAlign w:val="center"/>
            <w:hideMark/>
          </w:tcPr>
          <w:p w14:paraId="360127AC" w14:textId="77777777" w:rsidR="007F6CBD" w:rsidRPr="00B429D5" w:rsidRDefault="007F6CBD" w:rsidP="007F6CBD">
            <w:pPr>
              <w:spacing w:after="0"/>
              <w:rPr>
                <w:color w:val="000000"/>
              </w:rPr>
            </w:pPr>
            <w:r w:rsidRPr="00B429D5">
              <w:rPr>
                <w:color w:val="000000"/>
              </w:rPr>
              <w:t>Expenditure (£m)</w:t>
            </w:r>
          </w:p>
        </w:tc>
        <w:tc>
          <w:tcPr>
            <w:tcW w:w="1451" w:type="dxa"/>
            <w:tcBorders>
              <w:top w:val="nil"/>
              <w:left w:val="nil"/>
              <w:bottom w:val="single" w:sz="4" w:space="0" w:color="auto"/>
              <w:right w:val="nil"/>
            </w:tcBorders>
            <w:noWrap/>
            <w:vAlign w:val="center"/>
            <w:hideMark/>
          </w:tcPr>
          <w:p w14:paraId="655BC7E0" w14:textId="02A8D309" w:rsidR="007F6CBD" w:rsidRPr="00B429D5" w:rsidRDefault="007F6CBD" w:rsidP="00DC2927">
            <w:pPr>
              <w:spacing w:after="0"/>
              <w:jc w:val="right"/>
              <w:rPr>
                <w:color w:val="000000"/>
              </w:rPr>
            </w:pPr>
            <w:r w:rsidRPr="00B429D5">
              <w:rPr>
                <w:color w:val="000000"/>
              </w:rPr>
              <w:t xml:space="preserve">14,745 </w:t>
            </w:r>
          </w:p>
        </w:tc>
        <w:tc>
          <w:tcPr>
            <w:tcW w:w="2041" w:type="dxa"/>
            <w:tcBorders>
              <w:top w:val="nil"/>
              <w:left w:val="nil"/>
              <w:bottom w:val="single" w:sz="4" w:space="0" w:color="auto"/>
              <w:right w:val="nil"/>
            </w:tcBorders>
            <w:noWrap/>
            <w:vAlign w:val="center"/>
            <w:hideMark/>
          </w:tcPr>
          <w:p w14:paraId="0D0FC6C7" w14:textId="7704E04E" w:rsidR="007F6CBD" w:rsidRPr="00B429D5" w:rsidRDefault="007F6CBD" w:rsidP="00DC2927">
            <w:pPr>
              <w:spacing w:after="0"/>
              <w:jc w:val="right"/>
              <w:rPr>
                <w:color w:val="000000"/>
              </w:rPr>
            </w:pPr>
            <w:r w:rsidRPr="00B429D5">
              <w:rPr>
                <w:color w:val="000000"/>
              </w:rPr>
              <w:t xml:space="preserve">9,872 </w:t>
            </w:r>
          </w:p>
        </w:tc>
        <w:tc>
          <w:tcPr>
            <w:tcW w:w="2041" w:type="dxa"/>
            <w:tcBorders>
              <w:top w:val="nil"/>
              <w:left w:val="nil"/>
              <w:bottom w:val="single" w:sz="4" w:space="0" w:color="auto"/>
              <w:right w:val="nil"/>
            </w:tcBorders>
            <w:noWrap/>
            <w:vAlign w:val="center"/>
            <w:hideMark/>
          </w:tcPr>
          <w:p w14:paraId="31497113" w14:textId="33B00129" w:rsidR="007F6CBD" w:rsidRPr="00B429D5" w:rsidRDefault="007F6CBD" w:rsidP="00DC2927">
            <w:pPr>
              <w:spacing w:after="0"/>
              <w:jc w:val="right"/>
              <w:rPr>
                <w:color w:val="000000"/>
              </w:rPr>
            </w:pPr>
            <w:r w:rsidRPr="00B429D5">
              <w:rPr>
                <w:color w:val="000000"/>
              </w:rPr>
              <w:t xml:space="preserve">13,197 </w:t>
            </w:r>
          </w:p>
        </w:tc>
        <w:tc>
          <w:tcPr>
            <w:tcW w:w="2041" w:type="dxa"/>
            <w:tcBorders>
              <w:top w:val="nil"/>
              <w:left w:val="nil"/>
              <w:bottom w:val="single" w:sz="4" w:space="0" w:color="auto"/>
              <w:right w:val="nil"/>
            </w:tcBorders>
            <w:noWrap/>
            <w:vAlign w:val="center"/>
            <w:hideMark/>
          </w:tcPr>
          <w:p w14:paraId="6983A2E4" w14:textId="1931C53E" w:rsidR="007F6CBD" w:rsidRPr="00B429D5" w:rsidRDefault="007F6CBD" w:rsidP="00DC2927">
            <w:pPr>
              <w:spacing w:after="0"/>
              <w:jc w:val="right"/>
              <w:rPr>
                <w:b/>
                <w:color w:val="000000"/>
              </w:rPr>
            </w:pPr>
            <w:r w:rsidRPr="00B429D5">
              <w:rPr>
                <w:b/>
                <w:color w:val="000000"/>
              </w:rPr>
              <w:t xml:space="preserve">37,815 </w:t>
            </w:r>
          </w:p>
        </w:tc>
      </w:tr>
      <w:tr w:rsidR="007F6CBD" w:rsidRPr="007F6CBD" w14:paraId="145A5A8C" w14:textId="77777777" w:rsidTr="00DC2927">
        <w:trPr>
          <w:trHeight w:val="290"/>
        </w:trPr>
        <w:tc>
          <w:tcPr>
            <w:tcW w:w="2127" w:type="dxa"/>
            <w:tcBorders>
              <w:top w:val="single" w:sz="4" w:space="0" w:color="auto"/>
              <w:left w:val="nil"/>
              <w:bottom w:val="single" w:sz="4" w:space="0" w:color="auto"/>
              <w:right w:val="nil"/>
            </w:tcBorders>
            <w:noWrap/>
            <w:vAlign w:val="center"/>
            <w:hideMark/>
          </w:tcPr>
          <w:p w14:paraId="5FB21F26" w14:textId="77777777" w:rsidR="007F6CBD" w:rsidRPr="00B429D5" w:rsidRDefault="007F6CBD" w:rsidP="007F6CBD">
            <w:pPr>
              <w:spacing w:after="0"/>
              <w:rPr>
                <w:color w:val="000000"/>
              </w:rPr>
            </w:pPr>
            <w:r w:rsidRPr="00B429D5">
              <w:rPr>
                <w:color w:val="000000"/>
              </w:rPr>
              <w:t>GVA (£m)</w:t>
            </w:r>
          </w:p>
        </w:tc>
        <w:tc>
          <w:tcPr>
            <w:tcW w:w="1451" w:type="dxa"/>
            <w:tcBorders>
              <w:top w:val="single" w:sz="4" w:space="0" w:color="auto"/>
              <w:left w:val="nil"/>
              <w:bottom w:val="single" w:sz="4" w:space="0" w:color="auto"/>
              <w:right w:val="nil"/>
            </w:tcBorders>
            <w:noWrap/>
            <w:vAlign w:val="center"/>
            <w:hideMark/>
          </w:tcPr>
          <w:p w14:paraId="4F61CC3F" w14:textId="7566DEB7" w:rsidR="007F6CBD" w:rsidRPr="00B429D5" w:rsidRDefault="007F6CBD" w:rsidP="00DC2927">
            <w:pPr>
              <w:spacing w:after="0"/>
              <w:jc w:val="right"/>
              <w:rPr>
                <w:color w:val="000000"/>
              </w:rPr>
            </w:pPr>
            <w:r w:rsidRPr="00B429D5">
              <w:rPr>
                <w:color w:val="000000"/>
              </w:rPr>
              <w:t xml:space="preserve">5,134 </w:t>
            </w:r>
          </w:p>
        </w:tc>
        <w:tc>
          <w:tcPr>
            <w:tcW w:w="2041" w:type="dxa"/>
            <w:tcBorders>
              <w:top w:val="single" w:sz="4" w:space="0" w:color="auto"/>
              <w:left w:val="nil"/>
              <w:bottom w:val="single" w:sz="4" w:space="0" w:color="auto"/>
              <w:right w:val="nil"/>
            </w:tcBorders>
            <w:noWrap/>
            <w:vAlign w:val="center"/>
            <w:hideMark/>
          </w:tcPr>
          <w:p w14:paraId="75E565C0" w14:textId="2C48B63B" w:rsidR="007F6CBD" w:rsidRPr="00B429D5" w:rsidRDefault="007F6CBD" w:rsidP="00DC2927">
            <w:pPr>
              <w:spacing w:after="0"/>
              <w:jc w:val="right"/>
              <w:rPr>
                <w:color w:val="000000"/>
              </w:rPr>
            </w:pPr>
            <w:r w:rsidRPr="00B429D5">
              <w:rPr>
                <w:color w:val="000000"/>
              </w:rPr>
              <w:t xml:space="preserve">2,536 </w:t>
            </w:r>
          </w:p>
        </w:tc>
        <w:tc>
          <w:tcPr>
            <w:tcW w:w="2041" w:type="dxa"/>
            <w:tcBorders>
              <w:top w:val="single" w:sz="4" w:space="0" w:color="auto"/>
              <w:left w:val="nil"/>
              <w:bottom w:val="single" w:sz="4" w:space="0" w:color="auto"/>
              <w:right w:val="nil"/>
            </w:tcBorders>
            <w:noWrap/>
            <w:vAlign w:val="center"/>
            <w:hideMark/>
          </w:tcPr>
          <w:p w14:paraId="7C7D60EC" w14:textId="5B23D3F6" w:rsidR="007F6CBD" w:rsidRPr="00B429D5" w:rsidRDefault="007F6CBD" w:rsidP="00DC2927">
            <w:pPr>
              <w:spacing w:after="0"/>
              <w:jc w:val="right"/>
              <w:rPr>
                <w:color w:val="000000"/>
              </w:rPr>
            </w:pPr>
            <w:r w:rsidRPr="00B429D5">
              <w:rPr>
                <w:color w:val="000000"/>
              </w:rPr>
              <w:t xml:space="preserve">4,159 </w:t>
            </w:r>
          </w:p>
        </w:tc>
        <w:tc>
          <w:tcPr>
            <w:tcW w:w="2041" w:type="dxa"/>
            <w:tcBorders>
              <w:top w:val="single" w:sz="4" w:space="0" w:color="auto"/>
              <w:left w:val="nil"/>
              <w:bottom w:val="single" w:sz="4" w:space="0" w:color="auto"/>
              <w:right w:val="nil"/>
            </w:tcBorders>
            <w:noWrap/>
            <w:vAlign w:val="center"/>
            <w:hideMark/>
          </w:tcPr>
          <w:p w14:paraId="70FC2668" w14:textId="3E300E42" w:rsidR="007F6CBD" w:rsidRPr="00B429D5" w:rsidRDefault="007F6CBD" w:rsidP="00DC2927">
            <w:pPr>
              <w:spacing w:after="0"/>
              <w:jc w:val="right"/>
              <w:rPr>
                <w:b/>
                <w:color w:val="000000"/>
              </w:rPr>
            </w:pPr>
            <w:r w:rsidRPr="00B429D5">
              <w:rPr>
                <w:b/>
                <w:color w:val="000000"/>
              </w:rPr>
              <w:t xml:space="preserve">11,830 </w:t>
            </w:r>
          </w:p>
        </w:tc>
      </w:tr>
      <w:tr w:rsidR="007F6CBD" w:rsidRPr="007F6CBD" w14:paraId="0FFF3B61" w14:textId="77777777" w:rsidTr="00DC2927">
        <w:trPr>
          <w:trHeight w:val="290"/>
        </w:trPr>
        <w:tc>
          <w:tcPr>
            <w:tcW w:w="2127" w:type="dxa"/>
            <w:tcBorders>
              <w:top w:val="single" w:sz="4" w:space="0" w:color="auto"/>
              <w:left w:val="nil"/>
              <w:bottom w:val="single" w:sz="4" w:space="0" w:color="auto"/>
              <w:right w:val="nil"/>
            </w:tcBorders>
            <w:noWrap/>
            <w:vAlign w:val="center"/>
            <w:hideMark/>
          </w:tcPr>
          <w:p w14:paraId="69505C96" w14:textId="77777777" w:rsidR="007F6CBD" w:rsidRPr="00B429D5" w:rsidRDefault="007F6CBD" w:rsidP="007F6CBD">
            <w:pPr>
              <w:spacing w:after="0"/>
              <w:rPr>
                <w:color w:val="000000"/>
              </w:rPr>
            </w:pPr>
            <w:r w:rsidRPr="00B429D5">
              <w:rPr>
                <w:color w:val="000000"/>
              </w:rPr>
              <w:t>FTEs</w:t>
            </w:r>
          </w:p>
        </w:tc>
        <w:tc>
          <w:tcPr>
            <w:tcW w:w="1451" w:type="dxa"/>
            <w:tcBorders>
              <w:top w:val="single" w:sz="4" w:space="0" w:color="auto"/>
              <w:left w:val="nil"/>
              <w:bottom w:val="single" w:sz="4" w:space="0" w:color="auto"/>
              <w:right w:val="nil"/>
            </w:tcBorders>
            <w:noWrap/>
            <w:vAlign w:val="center"/>
            <w:hideMark/>
          </w:tcPr>
          <w:p w14:paraId="4AFCDB61" w14:textId="0C271ADA" w:rsidR="007F6CBD" w:rsidRPr="00B429D5" w:rsidRDefault="007F6CBD" w:rsidP="00DC2927">
            <w:pPr>
              <w:spacing w:after="0"/>
              <w:jc w:val="right"/>
              <w:rPr>
                <w:color w:val="000000"/>
              </w:rPr>
            </w:pPr>
            <w:r w:rsidRPr="00B429D5">
              <w:rPr>
                <w:color w:val="000000"/>
              </w:rPr>
              <w:t xml:space="preserve">150,400 </w:t>
            </w:r>
          </w:p>
        </w:tc>
        <w:tc>
          <w:tcPr>
            <w:tcW w:w="2041" w:type="dxa"/>
            <w:tcBorders>
              <w:top w:val="single" w:sz="4" w:space="0" w:color="auto"/>
              <w:left w:val="nil"/>
              <w:bottom w:val="single" w:sz="4" w:space="0" w:color="auto"/>
              <w:right w:val="nil"/>
            </w:tcBorders>
            <w:noWrap/>
            <w:vAlign w:val="center"/>
            <w:hideMark/>
          </w:tcPr>
          <w:p w14:paraId="6178FFDD" w14:textId="079269D7" w:rsidR="007F6CBD" w:rsidRPr="00B429D5" w:rsidRDefault="007F6CBD" w:rsidP="00DC2927">
            <w:pPr>
              <w:spacing w:after="0"/>
              <w:jc w:val="right"/>
              <w:rPr>
                <w:color w:val="000000"/>
              </w:rPr>
            </w:pPr>
            <w:r w:rsidRPr="00B429D5">
              <w:rPr>
                <w:color w:val="000000"/>
              </w:rPr>
              <w:t xml:space="preserve">34,800 </w:t>
            </w:r>
          </w:p>
        </w:tc>
        <w:tc>
          <w:tcPr>
            <w:tcW w:w="2041" w:type="dxa"/>
            <w:tcBorders>
              <w:top w:val="single" w:sz="4" w:space="0" w:color="auto"/>
              <w:left w:val="nil"/>
              <w:bottom w:val="single" w:sz="4" w:space="0" w:color="auto"/>
              <w:right w:val="nil"/>
            </w:tcBorders>
            <w:noWrap/>
            <w:vAlign w:val="center"/>
            <w:hideMark/>
          </w:tcPr>
          <w:p w14:paraId="79FCA323" w14:textId="53DC9CBA" w:rsidR="007F6CBD" w:rsidRPr="00B429D5" w:rsidRDefault="007F6CBD" w:rsidP="00DC2927">
            <w:pPr>
              <w:spacing w:after="0"/>
              <w:jc w:val="right"/>
              <w:rPr>
                <w:color w:val="000000"/>
              </w:rPr>
            </w:pPr>
            <w:r w:rsidRPr="00B429D5">
              <w:rPr>
                <w:color w:val="000000"/>
              </w:rPr>
              <w:t xml:space="preserve">45,400 </w:t>
            </w:r>
          </w:p>
        </w:tc>
        <w:tc>
          <w:tcPr>
            <w:tcW w:w="2041" w:type="dxa"/>
            <w:tcBorders>
              <w:top w:val="single" w:sz="4" w:space="0" w:color="auto"/>
              <w:left w:val="nil"/>
              <w:bottom w:val="single" w:sz="4" w:space="0" w:color="auto"/>
              <w:right w:val="nil"/>
            </w:tcBorders>
            <w:noWrap/>
            <w:vAlign w:val="center"/>
            <w:hideMark/>
          </w:tcPr>
          <w:p w14:paraId="6C0B7E75" w14:textId="78421CF0" w:rsidR="007F6CBD" w:rsidRPr="00B429D5" w:rsidRDefault="007F6CBD" w:rsidP="00DC2927">
            <w:pPr>
              <w:spacing w:after="0"/>
              <w:jc w:val="right"/>
              <w:rPr>
                <w:b/>
                <w:color w:val="000000"/>
              </w:rPr>
            </w:pPr>
            <w:r w:rsidRPr="00B429D5">
              <w:rPr>
                <w:b/>
                <w:color w:val="000000"/>
              </w:rPr>
              <w:t xml:space="preserve">230,600 </w:t>
            </w:r>
          </w:p>
        </w:tc>
      </w:tr>
    </w:tbl>
    <w:p w14:paraId="4D7C64BD" w14:textId="77777777" w:rsidR="006C74A2" w:rsidRDefault="006C74A2" w:rsidP="00E25697"/>
    <w:p w14:paraId="698F16B6" w14:textId="77777777" w:rsidR="009D4557" w:rsidRDefault="009D4557" w:rsidP="00E25697"/>
    <w:p w14:paraId="607B7D8E" w14:textId="77777777" w:rsidR="009D4557" w:rsidRDefault="009D4557" w:rsidP="00E25697"/>
    <w:p w14:paraId="3AA97B1A" w14:textId="77777777" w:rsidR="009D4557" w:rsidRDefault="009D4557" w:rsidP="00E25697"/>
    <w:p w14:paraId="5E56CFFC" w14:textId="77777777" w:rsidR="009D4557" w:rsidRDefault="009D4557" w:rsidP="00E25697"/>
    <w:p w14:paraId="1E1DC5B8" w14:textId="77777777" w:rsidR="009D4557" w:rsidRDefault="009D4557" w:rsidP="00E25697"/>
    <w:p w14:paraId="10F193CE" w14:textId="77777777" w:rsidR="009D4557" w:rsidRDefault="009D4557" w:rsidP="00E25697"/>
    <w:p w14:paraId="46F73649" w14:textId="77777777" w:rsidR="009D4557" w:rsidRDefault="009D4557" w:rsidP="00E25697"/>
    <w:p w14:paraId="645369FC" w14:textId="2182707C" w:rsidR="003E75EF" w:rsidRDefault="003E75EF">
      <w:pPr>
        <w:spacing w:after="0"/>
      </w:pPr>
      <w:r>
        <w:br w:type="page"/>
      </w:r>
    </w:p>
    <w:p w14:paraId="5D1A7F8F" w14:textId="4177DFA2" w:rsidR="00A70025" w:rsidRDefault="00D35F76" w:rsidP="00E25697">
      <w:r>
        <w:rPr>
          <w:noProof/>
        </w:rPr>
        <w:lastRenderedPageBreak/>
        <w:drawing>
          <wp:anchor distT="0" distB="0" distL="114300" distR="114300" simplePos="0" relativeHeight="251661824" behindDoc="1" locked="0" layoutInCell="1" allowOverlap="1" wp14:anchorId="1564A0BB" wp14:editId="0813B570">
            <wp:simplePos x="0" y="0"/>
            <wp:positionH relativeFrom="page">
              <wp:posOffset>5715</wp:posOffset>
            </wp:positionH>
            <wp:positionV relativeFrom="paragraph">
              <wp:posOffset>-420370</wp:posOffset>
            </wp:positionV>
            <wp:extent cx="7533005" cy="10654665"/>
            <wp:effectExtent l="0" t="0" r="0" b="0"/>
            <wp:wrapNone/>
            <wp:docPr id="62672654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726540" name="Picture 62672654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33005" cy="10654665"/>
                    </a:xfrm>
                    <a:prstGeom prst="rect">
                      <a:avLst/>
                    </a:prstGeom>
                  </pic:spPr>
                </pic:pic>
              </a:graphicData>
            </a:graphic>
            <wp14:sizeRelH relativeFrom="page">
              <wp14:pctWidth>0</wp14:pctWidth>
            </wp14:sizeRelH>
            <wp14:sizeRelV relativeFrom="page">
              <wp14:pctHeight>0</wp14:pctHeight>
            </wp14:sizeRelV>
          </wp:anchor>
        </w:drawing>
      </w:r>
    </w:p>
    <w:p w14:paraId="2C20EDC1" w14:textId="60A5C8CF" w:rsidR="009D4557" w:rsidRPr="00DE51F1" w:rsidRDefault="00C3126A" w:rsidP="00E25697">
      <w:r>
        <w:rPr>
          <w:noProof/>
        </w:rPr>
        <mc:AlternateContent>
          <mc:Choice Requires="wps">
            <w:drawing>
              <wp:anchor distT="0" distB="0" distL="114300" distR="114300" simplePos="0" relativeHeight="251665920" behindDoc="0" locked="0" layoutInCell="1" allowOverlap="1" wp14:anchorId="5315A11D" wp14:editId="7F2D6B9E">
                <wp:simplePos x="0" y="0"/>
                <wp:positionH relativeFrom="margin">
                  <wp:posOffset>-282575</wp:posOffset>
                </wp:positionH>
                <wp:positionV relativeFrom="paragraph">
                  <wp:posOffset>1310640</wp:posOffset>
                </wp:positionV>
                <wp:extent cx="6301740" cy="815340"/>
                <wp:effectExtent l="0" t="0" r="0" b="3810"/>
                <wp:wrapNone/>
                <wp:docPr id="1809020547" name="Text Box 29"/>
                <wp:cNvGraphicFramePr/>
                <a:graphic xmlns:a="http://schemas.openxmlformats.org/drawingml/2006/main">
                  <a:graphicData uri="http://schemas.microsoft.com/office/word/2010/wordprocessingShape">
                    <wps:wsp>
                      <wps:cNvSpPr txBox="1"/>
                      <wps:spPr>
                        <a:xfrm>
                          <a:off x="0" y="0"/>
                          <a:ext cx="6301740" cy="815340"/>
                        </a:xfrm>
                        <a:prstGeom prst="rect">
                          <a:avLst/>
                        </a:prstGeom>
                        <a:noFill/>
                        <a:ln w="6350">
                          <a:noFill/>
                        </a:ln>
                      </wps:spPr>
                      <wps:txbx>
                        <w:txbxContent>
                          <w:p w14:paraId="221752E6" w14:textId="77777777" w:rsidR="00CC74F7" w:rsidRDefault="00C3126A" w:rsidP="00C5608F">
                            <w:pPr>
                              <w:spacing w:after="0"/>
                              <w:rPr>
                                <w:color w:val="FFFFFF" w:themeColor="background1"/>
                              </w:rPr>
                            </w:pPr>
                            <w:r w:rsidRPr="00CC74F7">
                              <w:rPr>
                                <w:color w:val="FFFFFF" w:themeColor="background1"/>
                              </w:rPr>
                              <w:t xml:space="preserve">For any queries, please contact Brenda Dorpalen (Insights and </w:t>
                            </w:r>
                            <w:r w:rsidR="00CC74F7">
                              <w:rPr>
                                <w:color w:val="FFFFFF" w:themeColor="background1"/>
                              </w:rPr>
                              <w:t>Economics Team Manager)</w:t>
                            </w:r>
                            <w:r w:rsidRPr="00CC74F7">
                              <w:rPr>
                                <w:color w:val="FFFFFF" w:themeColor="background1"/>
                              </w:rPr>
                              <w:t xml:space="preserve"> at </w:t>
                            </w:r>
                          </w:p>
                          <w:p w14:paraId="509BE7AD" w14:textId="4272BB41" w:rsidR="00C3126A" w:rsidRPr="00CC74F7" w:rsidRDefault="00C3126A" w:rsidP="00C5608F">
                            <w:pPr>
                              <w:spacing w:after="0"/>
                              <w:rPr>
                                <w:color w:val="FFFFFF" w:themeColor="background1"/>
                              </w:rPr>
                            </w:pPr>
                            <w:r w:rsidRPr="00CC74F7">
                              <w:rPr>
                                <w:color w:val="FFFFFF" w:themeColor="background1"/>
                              </w:rPr>
                              <w:t>Brenda.Dorpalen@canalrivertrust.org.uk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15A11D" id="Text Box 29" o:spid="_x0000_s1059" type="#_x0000_t202" style="position:absolute;margin-left:-22.25pt;margin-top:103.2pt;width:496.2pt;height:64.2pt;z-index:2516659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EA8GAIAADQEAAAOAAAAZHJzL2Uyb0RvYy54bWysU8lu2zAQvRfoPxC815IcO4tgOXATuCgQ&#10;JAGcImeaIi0CFIclaUvu13dIeUPaU9ELNZw3muW94ey+bzXZCecVmIoWo5wSYTjUymwq+uNt+eWW&#10;Eh+YqZkGIyq6F57ezz9/mnW2FGNoQNfCEUxifNnZijYh2DLLPG9Ey/wIrDAISnAtC3h1m6x2rMPs&#10;rc7GeX6ddeBq64AL79H7OIB0nvJLKXh4kdKLQHRFsbeQTpfOdTyz+YyVG8dso/ihDfYPXbRMGSx6&#10;SvXIAiNbp/5I1SruwIMMIw5tBlIqLtIMOE2Rf5hm1TAr0ixIjrcnmvz/S8ufdyv76kjov0KPAkZC&#10;OutLj844Ty9dG7/YKUEcKdyfaBN9IByd11d5cTNBiCN2W0yv0MY02flv63z4JqAl0aioQ1kSW2z3&#10;5MMQegyJxQwsldZJGm1IFytM8/TDCcHk2mCNc6/RCv26J6qu6Dh1EF1rqPc4n4NBem/5UmETT8yH&#10;V+ZQa+wb9ze84CE1YDE4WJQ04H79zR/jUQJEKelwdyrqf26ZE5To7wbFuSsmkY6QLpPpDXZD3CWy&#10;vkTMtn0AXM8CX4rlyYzxQR9N6aB9xzVfxKoIMcOxdkXD0XwIw0bjM+FisUhBuF6WhSezsjymjrRG&#10;it/6d+bsQYeACj7DcctY+UGOIXYQZLENIFXS6szqgX9czaT24RnF3b+8p6jzY5//BgAA//8DAFBL&#10;AwQUAAYACAAAACEAlGf5VeQAAAALAQAADwAAAGRycy9kb3ducmV2LnhtbEyPwW7CMBBE75X6D9ZW&#10;6g2cBkNDiINQJFSpKgcoF25OvCRR43UaG0j79XVP7XE1TzNvs/VoOnbFwbWWJDxNI2BIldUt1RKO&#10;79tJAsx5RVp1llDCFzpY5/d3mUq1vdEerwdfs1BCLlUSGu/7lHNXNWiUm9oeKWRnOxjlwznUXA/q&#10;FspNx+MoWnCjWgoLjeqxaLD6OFyMhNdiu1P7MjbJd1e8vJ03/efxNJfy8WHcrIB5HP0fDL/6QR3y&#10;4FTaC2nHOgkTIeYBlRBHCwEsEEvxvARWSpjNRAI8z/j/H/IfAAAA//8DAFBLAQItABQABgAIAAAA&#10;IQC2gziS/gAAAOEBAAATAAAAAAAAAAAAAAAAAAAAAABbQ29udGVudF9UeXBlc10ueG1sUEsBAi0A&#10;FAAGAAgAAAAhADj9If/WAAAAlAEAAAsAAAAAAAAAAAAAAAAALwEAAF9yZWxzLy5yZWxzUEsBAi0A&#10;FAAGAAgAAAAhAO3wQDwYAgAANAQAAA4AAAAAAAAAAAAAAAAALgIAAGRycy9lMm9Eb2MueG1sUEsB&#10;Ai0AFAAGAAgAAAAhAJRn+VXkAAAACwEAAA8AAAAAAAAAAAAAAAAAcgQAAGRycy9kb3ducmV2Lnht&#10;bFBLBQYAAAAABAAEAPMAAACDBQAAAAA=&#10;" filled="f" stroked="f" strokeweight=".5pt">
                <v:textbox>
                  <w:txbxContent>
                    <w:p w14:paraId="221752E6" w14:textId="77777777" w:rsidR="00CC74F7" w:rsidRDefault="00C3126A" w:rsidP="00C5608F">
                      <w:pPr>
                        <w:spacing w:after="0"/>
                        <w:rPr>
                          <w:color w:val="FFFFFF" w:themeColor="background1"/>
                        </w:rPr>
                      </w:pPr>
                      <w:r w:rsidRPr="00CC74F7">
                        <w:rPr>
                          <w:color w:val="FFFFFF" w:themeColor="background1"/>
                        </w:rPr>
                        <w:t xml:space="preserve">For any queries, please contact Brenda Dorpalen (Insights and </w:t>
                      </w:r>
                      <w:r w:rsidR="00CC74F7">
                        <w:rPr>
                          <w:color w:val="FFFFFF" w:themeColor="background1"/>
                        </w:rPr>
                        <w:t>Economics Team Manager)</w:t>
                      </w:r>
                      <w:r w:rsidRPr="00CC74F7">
                        <w:rPr>
                          <w:color w:val="FFFFFF" w:themeColor="background1"/>
                        </w:rPr>
                        <w:t xml:space="preserve"> at </w:t>
                      </w:r>
                    </w:p>
                    <w:p w14:paraId="509BE7AD" w14:textId="4272BB41" w:rsidR="00C3126A" w:rsidRPr="00CC74F7" w:rsidRDefault="00C3126A" w:rsidP="00C5608F">
                      <w:pPr>
                        <w:spacing w:after="0"/>
                        <w:rPr>
                          <w:color w:val="FFFFFF" w:themeColor="background1"/>
                        </w:rPr>
                      </w:pPr>
                      <w:r w:rsidRPr="00CC74F7">
                        <w:rPr>
                          <w:color w:val="FFFFFF" w:themeColor="background1"/>
                        </w:rPr>
                        <w:t>Brenda.Dorpalen@canalrivertrust.org.uk</w:t>
                      </w:r>
                    </w:p>
                  </w:txbxContent>
                </v:textbox>
                <w10:wrap anchorx="margin"/>
              </v:shape>
            </w:pict>
          </mc:Fallback>
        </mc:AlternateContent>
      </w:r>
    </w:p>
    <w:sectPr w:rsidR="009D4557" w:rsidRPr="00DE51F1" w:rsidSect="00C3126A">
      <w:footerReference w:type="default" r:id="rId27"/>
      <w:headerReference w:type="first" r:id="rId28"/>
      <w:type w:val="continuous"/>
      <w:pgSz w:w="11906" w:h="16838" w:code="9"/>
      <w:pgMar w:top="692" w:right="1021" w:bottom="1418" w:left="1021" w:header="0"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Chris Outlaw" w:date="2026-05-11T15:09:00Z" w:initials="CO">
    <w:p w14:paraId="6C8C865E" w14:textId="77777777" w:rsidR="002571EA" w:rsidRDefault="002571EA" w:rsidP="002571EA">
      <w:pPr>
        <w:pStyle w:val="CommentText"/>
      </w:pPr>
      <w:r>
        <w:rPr>
          <w:rStyle w:val="CommentReference"/>
        </w:rPr>
        <w:annotationRef/>
      </w:r>
      <w:r>
        <w:t>Check names of regions standardised throughout</w:t>
      </w:r>
    </w:p>
  </w:comment>
  <w:comment w:id="3" w:author="Chris Outlaw" w:date="2026-05-18T11:54:00Z" w:initials="CO">
    <w:p w14:paraId="38F51BF0" w14:textId="77777777" w:rsidR="006E2483" w:rsidRDefault="006E2483" w:rsidP="006E2483">
      <w:pPr>
        <w:pStyle w:val="CommentText"/>
      </w:pPr>
      <w:r>
        <w:rPr>
          <w:rStyle w:val="CommentReference"/>
        </w:rPr>
        <w:annotationRef/>
      </w:r>
      <w:r>
        <w:t>Based on MyMap:</w:t>
      </w:r>
      <w:r>
        <w:br/>
        <w:t>London &amp; South East</w:t>
      </w:r>
      <w:r>
        <w:br/>
        <w:t>Wales &amp; South West</w:t>
      </w:r>
      <w:r>
        <w:br/>
        <w:t>East Midlands</w:t>
      </w:r>
      <w:r>
        <w:br/>
        <w:t>West Midlands</w:t>
      </w:r>
      <w:r>
        <w:br/>
        <w:t>North West</w:t>
      </w:r>
      <w:r>
        <w:br/>
        <w:t>Yorkshire &amp; North East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C8C865E" w15:done="1"/>
  <w15:commentEx w15:paraId="38F51BF0" w15:paraIdParent="6C8C865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C217393" w16cex:dateUtc="2026-05-11T14:09:00Z"/>
  <w16cex:commentExtensible w16cex:durableId="62CECAC5" w16cex:dateUtc="2026-05-18T10: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C8C865E" w16cid:durableId="4C217393"/>
  <w16cid:commentId w16cid:paraId="38F51BF0" w16cid:durableId="62CECAC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2E84C6" w14:textId="77777777" w:rsidR="00FC3D8E" w:rsidRDefault="00FC3D8E" w:rsidP="00E25697">
      <w:r>
        <w:separator/>
      </w:r>
    </w:p>
  </w:endnote>
  <w:endnote w:type="continuationSeparator" w:id="0">
    <w:p w14:paraId="6F638524" w14:textId="77777777" w:rsidR="00FC3D8E" w:rsidRDefault="00FC3D8E" w:rsidP="00E25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dern Era">
    <w:panose1 w:val="02000000000000000000"/>
    <w:charset w:val="00"/>
    <w:family w:val="modern"/>
    <w:notTrueType/>
    <w:pitch w:val="variable"/>
    <w:sig w:usb0="A00000EF" w:usb1="0000F07B" w:usb2="00000000" w:usb3="00000000" w:csb0="00000093" w:csb1="00000000"/>
  </w:font>
  <w:font w:name="Modern Era Bold">
    <w:panose1 w:val="02000000000000000000"/>
    <w:charset w:val="00"/>
    <w:family w:val="modern"/>
    <w:notTrueType/>
    <w:pitch w:val="variable"/>
    <w:sig w:usb0="A00000EF" w:usb1="0000F07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utiger LT 55 Roman">
    <w:altName w:val="Calibri"/>
    <w:charset w:val="00"/>
    <w:family w:val="swiss"/>
    <w:pitch w:val="variable"/>
    <w:sig w:usb0="80000027" w:usb1="00000000" w:usb2="00000000" w:usb3="00000000" w:csb0="00000001" w:csb1="00000000"/>
  </w:font>
  <w:font w:name="Helvetica Neue LT Std 65 Medium">
    <w:altName w:val="Arial"/>
    <w:panose1 w:val="00000000000000000000"/>
    <w:charset w:val="00"/>
    <w:family w:val="swiss"/>
    <w:notTrueType/>
    <w:pitch w:val="variable"/>
    <w:sig w:usb0="800000AF" w:usb1="4000204A" w:usb2="00000000" w:usb3="00000000" w:csb0="00000001" w:csb1="00000000"/>
  </w:font>
  <w:font w:name="MS Mincho">
    <w:panose1 w:val="02020609040205080304"/>
    <w:charset w:val="80"/>
    <w:family w:val="modern"/>
    <w:pitch w:val="fixed"/>
    <w:sig w:usb0="E00002FF" w:usb1="6AC7FDFB" w:usb2="08000012" w:usb3="00000000" w:csb0="0002009F" w:csb1="00000000"/>
  </w:font>
  <w:font w:name="HelveticaNeueLT Std">
    <w:altName w:val="Arial"/>
    <w:charset w:val="00"/>
    <w:family w:val="swiss"/>
    <w:pitch w:val="variable"/>
    <w:sig w:usb0="800000AF" w:usb1="4000204A" w:usb2="00000000" w:usb3="00000000" w:csb0="00000001" w:csb1="00000000"/>
  </w:font>
  <w:font w:name="HelveticaNeueLT Std Lt">
    <w:altName w:val="Arial"/>
    <w:charset w:val="00"/>
    <w:family w:val="swiss"/>
    <w:pitch w:val="variable"/>
  </w:font>
  <w:font w:name="Aptos">
    <w:charset w:val="00"/>
    <w:family w:val="swiss"/>
    <w:pitch w:val="variable"/>
    <w:sig w:usb0="20000287" w:usb1="00000003" w:usb2="00000000" w:usb3="00000000" w:csb0="0000019F" w:csb1="00000000"/>
  </w:font>
  <w:font w:name="Modern Era Bold (Bold)">
    <w:altName w:val="Cambria"/>
    <w:panose1 w:val="00000000000000000000"/>
    <w:charset w:val="00"/>
    <w:family w:val="roman"/>
    <w:notTrueType/>
    <w:pitch w:val="default"/>
  </w:font>
  <w:font w:name="Microsoft JhengHe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FCEC4" w14:textId="77777777" w:rsidR="00024C95" w:rsidRDefault="00024C95" w:rsidP="00024C95">
    <w:pPr>
      <w:pStyle w:val="CRTSpace"/>
    </w:pPr>
    <w:r>
      <w:t xml:space="preserve"> </w:t>
    </w:r>
  </w:p>
  <w:tbl>
    <w:tblPr>
      <w:tblStyle w:val="TableGrid"/>
      <w:tblpPr w:leftFromText="181" w:rightFromText="181" w:vertAnchor="page" w:tblpY="1595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5"/>
      <w:gridCol w:w="1276"/>
    </w:tblGrid>
    <w:tr w:rsidR="00F178A3" w14:paraId="57A143F3" w14:textId="77777777" w:rsidTr="000A113C">
      <w:trPr>
        <w:trHeight w:val="73"/>
      </w:trPr>
      <w:tc>
        <w:tcPr>
          <w:tcW w:w="8505" w:type="dxa"/>
          <w:vAlign w:val="bottom"/>
        </w:tcPr>
        <w:p w14:paraId="74CBE2FB" w14:textId="0B351CFF" w:rsidR="00F178A3" w:rsidRDefault="00E87146" w:rsidP="00F178A3">
          <w:pPr>
            <w:pStyle w:val="CRTFooterLeft"/>
          </w:pPr>
          <w:r w:rsidRPr="00E87146">
            <w:rPr>
              <w:noProof/>
            </w:rPr>
            <w:t xml:space="preserve">Economic </w:t>
          </w:r>
          <w:r w:rsidR="008C0B57">
            <w:rPr>
              <w:noProof/>
            </w:rPr>
            <w:t>I</w:t>
          </w:r>
          <w:r w:rsidRPr="00E87146">
            <w:rPr>
              <w:noProof/>
            </w:rPr>
            <w:t xml:space="preserve">mpact of the </w:t>
          </w:r>
          <w:r w:rsidR="008C0B57">
            <w:rPr>
              <w:noProof/>
            </w:rPr>
            <w:t>Canal Network</w:t>
          </w:r>
        </w:p>
      </w:tc>
      <w:tc>
        <w:tcPr>
          <w:tcW w:w="1276" w:type="dxa"/>
          <w:vAlign w:val="bottom"/>
        </w:tcPr>
        <w:p w14:paraId="4CCFB6B6" w14:textId="77777777" w:rsidR="00F178A3" w:rsidRDefault="00F178A3" w:rsidP="00F178A3">
          <w:pPr>
            <w:pStyle w:val="CRTFooterRight"/>
          </w:pPr>
          <w:r>
            <w:fldChar w:fldCharType="begin"/>
          </w:r>
          <w:r>
            <w:instrText xml:space="preserve"> PAGE  \* Arabic  \* MERGEFORMAT </w:instrText>
          </w:r>
          <w:r>
            <w:fldChar w:fldCharType="separate"/>
          </w:r>
          <w:r w:rsidR="00CA5977">
            <w:rPr>
              <w:noProof/>
            </w:rPr>
            <w:t>2</w:t>
          </w:r>
          <w:r>
            <w:fldChar w:fldCharType="end"/>
          </w:r>
        </w:p>
      </w:tc>
    </w:tr>
  </w:tbl>
  <w:p w14:paraId="60B8A754" w14:textId="77777777" w:rsidR="00B90607" w:rsidRDefault="00B90607" w:rsidP="00E256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1835B3" w14:textId="77777777" w:rsidR="00FC3D8E" w:rsidRDefault="00FC3D8E" w:rsidP="00E25697">
      <w:r>
        <w:separator/>
      </w:r>
    </w:p>
  </w:footnote>
  <w:footnote w:type="continuationSeparator" w:id="0">
    <w:p w14:paraId="0895B715" w14:textId="77777777" w:rsidR="00FC3D8E" w:rsidRDefault="00FC3D8E" w:rsidP="00E256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2E99C" w14:textId="0FA62002" w:rsidR="00996299" w:rsidRPr="00D44854" w:rsidRDefault="00422DC4" w:rsidP="00E25697">
    <w:pPr>
      <w:pStyle w:val="CRTHeader"/>
    </w:pPr>
    <w:r w:rsidRPr="00422DC4">
      <w:rPr>
        <w:noProof/>
      </w:rPr>
      <w:drawing>
        <wp:anchor distT="0" distB="0" distL="114300" distR="114300" simplePos="0" relativeHeight="251656704" behindDoc="0" locked="1" layoutInCell="1" allowOverlap="1" wp14:anchorId="1FAE3188" wp14:editId="78AEE759">
          <wp:simplePos x="0" y="0"/>
          <wp:positionH relativeFrom="page">
            <wp:posOffset>650240</wp:posOffset>
          </wp:positionH>
          <wp:positionV relativeFrom="page">
            <wp:posOffset>440690</wp:posOffset>
          </wp:positionV>
          <wp:extent cx="2627630" cy="762635"/>
          <wp:effectExtent l="0" t="0" r="1270" b="0"/>
          <wp:wrapNone/>
          <wp:docPr id="876674050" name="shpLogoWALStraplin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shpLogoWALNon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27630" cy="762635"/>
                  </a:xfrm>
                  <a:prstGeom prst="rect">
                    <a:avLst/>
                  </a:prstGeom>
                </pic:spPr>
              </pic:pic>
            </a:graphicData>
          </a:graphic>
          <wp14:sizeRelH relativeFrom="page">
            <wp14:pctWidth>0</wp14:pctWidth>
          </wp14:sizeRelH>
          <wp14:sizeRelV relativeFrom="page">
            <wp14:pctHeight>0</wp14:pctHeight>
          </wp14:sizeRelV>
        </wp:anchor>
      </w:drawing>
    </w:r>
    <w:r w:rsidR="00877563" w:rsidRPr="00877563">
      <w:rPr>
        <w:noProof/>
      </w:rPr>
      <w:drawing>
        <wp:anchor distT="0" distB="0" distL="114300" distR="114300" simplePos="0" relativeHeight="251652608" behindDoc="0" locked="1" layoutInCell="1" allowOverlap="1" wp14:anchorId="081BF3B1" wp14:editId="33607A09">
          <wp:simplePos x="0" y="0"/>
          <wp:positionH relativeFrom="page">
            <wp:posOffset>652145</wp:posOffset>
          </wp:positionH>
          <wp:positionV relativeFrom="page">
            <wp:posOffset>439420</wp:posOffset>
          </wp:positionV>
          <wp:extent cx="2224405" cy="762635"/>
          <wp:effectExtent l="0" t="0" r="4445" b="0"/>
          <wp:wrapNone/>
          <wp:docPr id="1976128286" name="shpLogoENGNon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24405" cy="762635"/>
                  </a:xfrm>
                  <a:prstGeom prst="rect">
                    <a:avLst/>
                  </a:prstGeom>
                </pic:spPr>
              </pic:pic>
            </a:graphicData>
          </a:graphic>
          <wp14:sizeRelH relativeFrom="page">
            <wp14:pctWidth>0</wp14:pctWidth>
          </wp14:sizeRelH>
          <wp14:sizeRelV relativeFrom="page">
            <wp14:pctHeight>0</wp14:pctHeight>
          </wp14:sizeRelV>
        </wp:anchor>
      </w:drawing>
    </w:r>
    <w:r w:rsidR="00D44854">
      <w:rPr>
        <w:noProof/>
      </w:rPr>
      <mc:AlternateContent>
        <mc:Choice Requires="wps">
          <w:drawing>
            <wp:anchor distT="0" distB="0" distL="2160270" distR="0" simplePos="0" relativeHeight="251650560" behindDoc="1" locked="1" layoutInCell="1" allowOverlap="1" wp14:anchorId="082F5D75" wp14:editId="1C20F878">
              <wp:simplePos x="0" y="0"/>
              <wp:positionH relativeFrom="page">
                <wp:posOffset>1485265</wp:posOffset>
              </wp:positionH>
              <wp:positionV relativeFrom="page">
                <wp:posOffset>6985</wp:posOffset>
              </wp:positionV>
              <wp:extent cx="0" cy="10691495"/>
              <wp:effectExtent l="0" t="0" r="19050" b="33655"/>
              <wp:wrapSquare wrapText="bothSides"/>
              <wp:docPr id="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691495"/>
                      </a:xfrm>
                      <a:prstGeom prst="straightConnector1">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3F2179" id="_x0000_t32" coordsize="21600,21600" o:spt="32" o:oned="t" path="m,l21600,21600e" filled="f">
              <v:path arrowok="t" fillok="f" o:connecttype="none"/>
              <o:lock v:ext="edit" shapetype="t"/>
            </v:shapetype>
            <v:shape id="AutoShape 57" o:spid="_x0000_s1026" type="#_x0000_t32" style="position:absolute;margin-left:116.95pt;margin-top:.55pt;width:0;height:841.85pt;flip:x;z-index:-251665920;visibility:visible;mso-wrap-style:square;mso-width-percent:0;mso-height-percent:0;mso-wrap-distance-left:170.1pt;mso-wrap-distance-top:0;mso-wrap-distance-right:0;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bX1QEAAJgDAAAOAAAAZHJzL2Uyb0RvYy54bWysU8tu2zAQvBfoPxC815KMOqgFyzk4TXtI&#10;WwNJP4DmQyJKcgmStuy/75JylLa5BdWB4C45w9nZ1eb2bA05yRA1uI42i5oS6TgI7fqO/ny6//CJ&#10;kpiYE8yAkx29yEhvt+/fbUbfyiUMYIQMBElcbEff0SEl31ZV5IO0LC7AS4eHCoJlCcPQVyKwEdmt&#10;qZZ1fVONEIQPwGWMmL2bDum28CslefqhVJSJmI6itlTWUNZDXqvthrV9YH7Q/CqDvUGFZdrhozPV&#10;HUuMHIN+RWU1DxBBpQUHW4FSmstSA1bT1P9U8zgwL0staE70s03x/9Hy76ed24csnZ/do38A/isS&#10;B7uBuV4WAU8Xj41rslXV6GM7Q3IQ/T6Qw/gNBN5hxwTFhbMKliij/dcMzORYKTkX2y+z7fKcCJ+S&#10;HLNNfbNuPq5X5SHWZo6M9CGmLxIsyZuOxhSY7oe0A+ewuxAmfnZ6iCkrfAFksIN7bUxpsnFk7Oh6&#10;tVwVQRGMFvkwXyvjJncmkBPDQTn0E6k5WixsyjV1/qZ5wTxO1ZQvKXx1piga/mIPcHSiaBgkE5+v&#10;+8S0mfaINu5qbvYzD29sDyAu+/BsOra/EF9HNc/Xn3FBv/xQ298AAAD//wMAUEsDBBQABgAIAAAA&#10;IQBimTMe2wAAAAoBAAAPAAAAZHJzL2Rvd25yZXYueG1sTI/LTsMwEEX3SPyDNUjsqNMWVWkap0I8&#10;drBog1g7sRu72OPIdtvw9wxiAcuje3XnTL2dvGNnHZMNKGA+K4Bp7IOyOAh4b1/uSmApS1TSBdQC&#10;vnSCbXN9VctKhQvu9HmfB0YjmCopwOQ8Vpyn3mgv0yyMGik7hOhlJowDV1FeaNw7viiKFffSIl0w&#10;ctSPRvef+5MX4HCc7FHG9uP1bd09B/u0a81RiNub6WEDLOsp/5XhR5/UoSGnLpxQJeYELJbLNVUp&#10;mAOj/Jc74lV5XwJvav7/heYbAAD//wMAUEsBAi0AFAAGAAgAAAAhALaDOJL+AAAA4QEAABMAAAAA&#10;AAAAAAAAAAAAAAAAAFtDb250ZW50X1R5cGVzXS54bWxQSwECLQAUAAYACAAAACEAOP0h/9YAAACU&#10;AQAACwAAAAAAAAAAAAAAAAAvAQAAX3JlbHMvLnJlbHNQSwECLQAUAAYACAAAACEA65lm19UBAACY&#10;AwAADgAAAAAAAAAAAAAAAAAuAgAAZHJzL2Uyb0RvYy54bWxQSwECLQAUAAYACAAAACEAYpkzHtsA&#10;AAAKAQAADwAAAAAAAAAAAAAAAAAvBAAAZHJzL2Rvd25yZXYueG1sUEsFBgAAAAAEAAQA8wAAADcF&#10;AAAAAA==&#10;" strokecolor="white [3212]">
              <w10:wrap type="square"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053D8A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D36CD0"/>
    <w:multiLevelType w:val="hybridMultilevel"/>
    <w:tmpl w:val="27DC8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3B07F2"/>
    <w:multiLevelType w:val="multilevel"/>
    <w:tmpl w:val="F1A62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4D38FB"/>
    <w:multiLevelType w:val="hybridMultilevel"/>
    <w:tmpl w:val="76BC8184"/>
    <w:lvl w:ilvl="0" w:tplc="3DEA876A">
      <w:start w:val="1"/>
      <w:numFmt w:val="lowerLetter"/>
      <w:pStyle w:val="ListNumber2"/>
      <w:lvlText w:val="%1"/>
      <w:lvlJc w:val="left"/>
      <w:pPr>
        <w:ind w:left="947" w:hanging="360"/>
      </w:pPr>
      <w:rPr>
        <w:rFonts w:hint="default"/>
        <w:bCs/>
        <w:iCs w:val="0"/>
        <w:color w:val="165BAA" w:themeColor="accent1"/>
      </w:r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4" w15:restartNumberingAfterBreak="0">
    <w:nsid w:val="088C138E"/>
    <w:multiLevelType w:val="multilevel"/>
    <w:tmpl w:val="A7AE50AC"/>
    <w:lvl w:ilvl="0">
      <w:start w:val="1"/>
      <w:numFmt w:val="decimal"/>
      <w:pStyle w:val="CRTNumberedHead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0D72BCA"/>
    <w:multiLevelType w:val="hybridMultilevel"/>
    <w:tmpl w:val="E6EEF81A"/>
    <w:lvl w:ilvl="0" w:tplc="F036F5EE">
      <w:start w:val="1"/>
      <w:numFmt w:val="bullet"/>
      <w:lvlText w:val=""/>
      <w:lvlJc w:val="left"/>
      <w:pPr>
        <w:ind w:left="1222" w:hanging="360"/>
      </w:pPr>
      <w:rPr>
        <w:rFonts w:ascii="Symbol" w:hAnsi="Symbol" w:cs="Symbol" w:hint="default"/>
        <w:color w:val="165BAA" w:themeColor="accent1"/>
        <w:sz w:val="22"/>
        <w:szCs w:val="32"/>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6" w15:restartNumberingAfterBreak="0">
    <w:nsid w:val="22E55564"/>
    <w:multiLevelType w:val="hybridMultilevel"/>
    <w:tmpl w:val="E076C10E"/>
    <w:lvl w:ilvl="0" w:tplc="3C32CFAE">
      <w:start w:val="1"/>
      <w:numFmt w:val="decimal"/>
      <w:pStyle w:val="CRTBulletNumber"/>
      <w:lvlText w:val="%1."/>
      <w:lvlJc w:val="left"/>
      <w:pPr>
        <w:tabs>
          <w:tab w:val="num" w:pos="680"/>
        </w:tabs>
        <w:ind w:left="680" w:hanging="396"/>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57D6DD5"/>
    <w:multiLevelType w:val="hybridMultilevel"/>
    <w:tmpl w:val="814A79E0"/>
    <w:lvl w:ilvl="0" w:tplc="2124D184">
      <w:start w:val="1"/>
      <w:numFmt w:val="decimal"/>
      <w:lvlText w:val="%1."/>
      <w:lvlJc w:val="left"/>
      <w:pPr>
        <w:tabs>
          <w:tab w:val="num" w:pos="1338"/>
        </w:tabs>
        <w:ind w:left="1338" w:hanging="1338"/>
      </w:pPr>
      <w:rPr>
        <w:rFonts w:ascii="Arial" w:hAnsi="Arial" w:hint="default"/>
        <w:b/>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30532440"/>
    <w:multiLevelType w:val="multilevel"/>
    <w:tmpl w:val="CB306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D21E13"/>
    <w:multiLevelType w:val="multilevel"/>
    <w:tmpl w:val="F8A8E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744813"/>
    <w:multiLevelType w:val="multilevel"/>
    <w:tmpl w:val="86F4B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42668E"/>
    <w:multiLevelType w:val="hybridMultilevel"/>
    <w:tmpl w:val="3C6EC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7B1CFA"/>
    <w:multiLevelType w:val="multilevel"/>
    <w:tmpl w:val="B81CA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2A67E4"/>
    <w:multiLevelType w:val="hybridMultilevel"/>
    <w:tmpl w:val="DB981A40"/>
    <w:lvl w:ilvl="0" w:tplc="A5D45D62">
      <w:start w:val="1"/>
      <w:numFmt w:val="lowerLetter"/>
      <w:pStyle w:val="CRTLettered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BF138D2"/>
    <w:multiLevelType w:val="multilevel"/>
    <w:tmpl w:val="ABF8E4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D912C8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75E17C8C"/>
    <w:multiLevelType w:val="hybridMultilevel"/>
    <w:tmpl w:val="76AE8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E62F73"/>
    <w:multiLevelType w:val="hybridMultilevel"/>
    <w:tmpl w:val="BFEAFF96"/>
    <w:lvl w:ilvl="0" w:tplc="DC66C4F4">
      <w:start w:val="1"/>
      <w:numFmt w:val="bullet"/>
      <w:pStyle w:val="CRTBullet"/>
      <w:lvlText w:val="•"/>
      <w:lvlJc w:val="left"/>
      <w:pPr>
        <w:tabs>
          <w:tab w:val="num" w:pos="284"/>
        </w:tabs>
        <w:ind w:left="284" w:hanging="284"/>
      </w:pPr>
      <w:rPr>
        <w:rFonts w:ascii="Arial" w:hAnsi="Arial" w:hint="default"/>
        <w:color w:val="000000"/>
        <w:sz w:val="28"/>
        <w:szCs w:val="2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A5977D0"/>
    <w:multiLevelType w:val="multilevel"/>
    <w:tmpl w:val="8870D06E"/>
    <w:lvl w:ilvl="0">
      <w:start w:val="1"/>
      <w:numFmt w:val="decimal"/>
      <w:pStyle w:val="CRTNumberedHeading2"/>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7BF70438"/>
    <w:multiLevelType w:val="multilevel"/>
    <w:tmpl w:val="127A45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CRTNumberedBodyText"/>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48277152">
    <w:abstractNumId w:val="17"/>
  </w:num>
  <w:num w:numId="2" w16cid:durableId="1742602787">
    <w:abstractNumId w:val="15"/>
  </w:num>
  <w:num w:numId="3" w16cid:durableId="885995892">
    <w:abstractNumId w:val="6"/>
  </w:num>
  <w:num w:numId="4" w16cid:durableId="1126923513">
    <w:abstractNumId w:val="14"/>
  </w:num>
  <w:num w:numId="5" w16cid:durableId="1445615587">
    <w:abstractNumId w:val="4"/>
  </w:num>
  <w:num w:numId="6" w16cid:durableId="1876117451">
    <w:abstractNumId w:val="18"/>
  </w:num>
  <w:num w:numId="7" w16cid:durableId="640962758">
    <w:abstractNumId w:val="19"/>
  </w:num>
  <w:num w:numId="8" w16cid:durableId="1270772580">
    <w:abstractNumId w:val="13"/>
  </w:num>
  <w:num w:numId="9" w16cid:durableId="1736393959">
    <w:abstractNumId w:val="7"/>
  </w:num>
  <w:num w:numId="10" w16cid:durableId="1172332335">
    <w:abstractNumId w:val="2"/>
  </w:num>
  <w:num w:numId="11" w16cid:durableId="2032758349">
    <w:abstractNumId w:val="11"/>
  </w:num>
  <w:num w:numId="12" w16cid:durableId="299045425">
    <w:abstractNumId w:val="3"/>
  </w:num>
  <w:num w:numId="13" w16cid:durableId="1589079294">
    <w:abstractNumId w:val="5"/>
  </w:num>
  <w:num w:numId="14" w16cid:durableId="1456215290">
    <w:abstractNumId w:val="16"/>
  </w:num>
  <w:num w:numId="15" w16cid:durableId="2069495987">
    <w:abstractNumId w:val="1"/>
  </w:num>
  <w:num w:numId="16" w16cid:durableId="1493177731">
    <w:abstractNumId w:val="0"/>
  </w:num>
  <w:num w:numId="17" w16cid:durableId="1683623819">
    <w:abstractNumId w:val="12"/>
  </w:num>
  <w:num w:numId="18" w16cid:durableId="2112043303">
    <w:abstractNumId w:val="10"/>
  </w:num>
  <w:num w:numId="19" w16cid:durableId="1089154844">
    <w:abstractNumId w:val="8"/>
  </w:num>
  <w:num w:numId="20" w16cid:durableId="1970353549">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hris Outlaw">
    <w15:presenceInfo w15:providerId="AD" w15:userId="S::chris.outlaw@canalrivertrust.org.uk::439275e5-b26b-42aa-bd6b-f93c1a196a2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
  <w:drawingGridVerticalSpacing w:val="6"/>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EA9"/>
    <w:rsid w:val="00002D77"/>
    <w:rsid w:val="000046BA"/>
    <w:rsid w:val="00004B31"/>
    <w:rsid w:val="00004D90"/>
    <w:rsid w:val="00006893"/>
    <w:rsid w:val="00011A6A"/>
    <w:rsid w:val="0001328C"/>
    <w:rsid w:val="00013C25"/>
    <w:rsid w:val="00014C84"/>
    <w:rsid w:val="00015280"/>
    <w:rsid w:val="00015D69"/>
    <w:rsid w:val="00016F0B"/>
    <w:rsid w:val="00022BE0"/>
    <w:rsid w:val="00023DBB"/>
    <w:rsid w:val="00024B24"/>
    <w:rsid w:val="00024C95"/>
    <w:rsid w:val="00024ED9"/>
    <w:rsid w:val="000265E6"/>
    <w:rsid w:val="00026C8A"/>
    <w:rsid w:val="0002721C"/>
    <w:rsid w:val="000320AE"/>
    <w:rsid w:val="00032B35"/>
    <w:rsid w:val="00032E80"/>
    <w:rsid w:val="00035EE9"/>
    <w:rsid w:val="0003655A"/>
    <w:rsid w:val="00037222"/>
    <w:rsid w:val="000375AE"/>
    <w:rsid w:val="000403BA"/>
    <w:rsid w:val="0004078D"/>
    <w:rsid w:val="00042626"/>
    <w:rsid w:val="000432BC"/>
    <w:rsid w:val="00044D40"/>
    <w:rsid w:val="00047605"/>
    <w:rsid w:val="000504FD"/>
    <w:rsid w:val="000509AD"/>
    <w:rsid w:val="00051F85"/>
    <w:rsid w:val="00052F84"/>
    <w:rsid w:val="00055092"/>
    <w:rsid w:val="00060400"/>
    <w:rsid w:val="0006517D"/>
    <w:rsid w:val="000733EF"/>
    <w:rsid w:val="00075DE2"/>
    <w:rsid w:val="00087A77"/>
    <w:rsid w:val="000918B4"/>
    <w:rsid w:val="00092D11"/>
    <w:rsid w:val="00093647"/>
    <w:rsid w:val="000945B5"/>
    <w:rsid w:val="00094AC9"/>
    <w:rsid w:val="00094C66"/>
    <w:rsid w:val="000A113C"/>
    <w:rsid w:val="000A1382"/>
    <w:rsid w:val="000A3657"/>
    <w:rsid w:val="000A43BA"/>
    <w:rsid w:val="000B0F60"/>
    <w:rsid w:val="000B1FCF"/>
    <w:rsid w:val="000B2354"/>
    <w:rsid w:val="000B4CF0"/>
    <w:rsid w:val="000B515C"/>
    <w:rsid w:val="000B5446"/>
    <w:rsid w:val="000C1117"/>
    <w:rsid w:val="000C238B"/>
    <w:rsid w:val="000C66D2"/>
    <w:rsid w:val="000C6955"/>
    <w:rsid w:val="000D1A28"/>
    <w:rsid w:val="000D2654"/>
    <w:rsid w:val="000D362B"/>
    <w:rsid w:val="000D39CD"/>
    <w:rsid w:val="000D7A46"/>
    <w:rsid w:val="000E3E1F"/>
    <w:rsid w:val="000E7611"/>
    <w:rsid w:val="000E7A76"/>
    <w:rsid w:val="000F0C82"/>
    <w:rsid w:val="000F3DE9"/>
    <w:rsid w:val="000F491E"/>
    <w:rsid w:val="000F76F9"/>
    <w:rsid w:val="00100A1B"/>
    <w:rsid w:val="00106962"/>
    <w:rsid w:val="00106FD5"/>
    <w:rsid w:val="0011121F"/>
    <w:rsid w:val="0011477D"/>
    <w:rsid w:val="00115807"/>
    <w:rsid w:val="00116BC8"/>
    <w:rsid w:val="001200FF"/>
    <w:rsid w:val="00121390"/>
    <w:rsid w:val="001226B4"/>
    <w:rsid w:val="001238C1"/>
    <w:rsid w:val="00125C98"/>
    <w:rsid w:val="001342C0"/>
    <w:rsid w:val="00134770"/>
    <w:rsid w:val="001367D9"/>
    <w:rsid w:val="00137E8A"/>
    <w:rsid w:val="001400D5"/>
    <w:rsid w:val="00140F01"/>
    <w:rsid w:val="001429BE"/>
    <w:rsid w:val="0014409D"/>
    <w:rsid w:val="00144F3F"/>
    <w:rsid w:val="0014692C"/>
    <w:rsid w:val="00146EF5"/>
    <w:rsid w:val="00147233"/>
    <w:rsid w:val="001500EE"/>
    <w:rsid w:val="00151D12"/>
    <w:rsid w:val="00154787"/>
    <w:rsid w:val="001568AB"/>
    <w:rsid w:val="001614C5"/>
    <w:rsid w:val="0017081B"/>
    <w:rsid w:val="00170DC0"/>
    <w:rsid w:val="00171B1F"/>
    <w:rsid w:val="001724A5"/>
    <w:rsid w:val="00174DD5"/>
    <w:rsid w:val="00175EF8"/>
    <w:rsid w:val="00177996"/>
    <w:rsid w:val="0018234F"/>
    <w:rsid w:val="00182A24"/>
    <w:rsid w:val="00182C09"/>
    <w:rsid w:val="00183519"/>
    <w:rsid w:val="001848D8"/>
    <w:rsid w:val="00186773"/>
    <w:rsid w:val="001919CD"/>
    <w:rsid w:val="00192959"/>
    <w:rsid w:val="00193F10"/>
    <w:rsid w:val="00195560"/>
    <w:rsid w:val="0019616A"/>
    <w:rsid w:val="001A016D"/>
    <w:rsid w:val="001A5247"/>
    <w:rsid w:val="001B0573"/>
    <w:rsid w:val="001B164E"/>
    <w:rsid w:val="001B1FF2"/>
    <w:rsid w:val="001B25F4"/>
    <w:rsid w:val="001B4421"/>
    <w:rsid w:val="001B6182"/>
    <w:rsid w:val="001B679C"/>
    <w:rsid w:val="001B7714"/>
    <w:rsid w:val="001C0737"/>
    <w:rsid w:val="001C2888"/>
    <w:rsid w:val="001C2BC3"/>
    <w:rsid w:val="001C3467"/>
    <w:rsid w:val="001C7AF1"/>
    <w:rsid w:val="001D096B"/>
    <w:rsid w:val="001D1620"/>
    <w:rsid w:val="001D2194"/>
    <w:rsid w:val="001D249D"/>
    <w:rsid w:val="001D2E9F"/>
    <w:rsid w:val="001D3549"/>
    <w:rsid w:val="001D3F4C"/>
    <w:rsid w:val="001D59A8"/>
    <w:rsid w:val="001D76FB"/>
    <w:rsid w:val="001E0483"/>
    <w:rsid w:val="001E0F6E"/>
    <w:rsid w:val="001E1713"/>
    <w:rsid w:val="001E4904"/>
    <w:rsid w:val="001F2BF7"/>
    <w:rsid w:val="001F70B0"/>
    <w:rsid w:val="001F784B"/>
    <w:rsid w:val="001F79BB"/>
    <w:rsid w:val="002019CA"/>
    <w:rsid w:val="00202B5F"/>
    <w:rsid w:val="00203662"/>
    <w:rsid w:val="00207545"/>
    <w:rsid w:val="00207FAF"/>
    <w:rsid w:val="002128D9"/>
    <w:rsid w:val="002136A8"/>
    <w:rsid w:val="00215C50"/>
    <w:rsid w:val="00215F19"/>
    <w:rsid w:val="00216E34"/>
    <w:rsid w:val="0022095A"/>
    <w:rsid w:val="002245C3"/>
    <w:rsid w:val="00224D79"/>
    <w:rsid w:val="00224E66"/>
    <w:rsid w:val="00225365"/>
    <w:rsid w:val="00227609"/>
    <w:rsid w:val="00227627"/>
    <w:rsid w:val="002326B1"/>
    <w:rsid w:val="00232CA1"/>
    <w:rsid w:val="00233AFC"/>
    <w:rsid w:val="00233CFB"/>
    <w:rsid w:val="00235121"/>
    <w:rsid w:val="002367B4"/>
    <w:rsid w:val="00237AF8"/>
    <w:rsid w:val="00237CF4"/>
    <w:rsid w:val="00240054"/>
    <w:rsid w:val="002436AD"/>
    <w:rsid w:val="0025368D"/>
    <w:rsid w:val="002571EA"/>
    <w:rsid w:val="002600B5"/>
    <w:rsid w:val="00262311"/>
    <w:rsid w:val="0026463F"/>
    <w:rsid w:val="0026576A"/>
    <w:rsid w:val="00265C08"/>
    <w:rsid w:val="002679C9"/>
    <w:rsid w:val="00270AED"/>
    <w:rsid w:val="00272A2C"/>
    <w:rsid w:val="002736A8"/>
    <w:rsid w:val="0027779F"/>
    <w:rsid w:val="00277BEB"/>
    <w:rsid w:val="002813BC"/>
    <w:rsid w:val="00282E02"/>
    <w:rsid w:val="0028359F"/>
    <w:rsid w:val="0028486F"/>
    <w:rsid w:val="00287D55"/>
    <w:rsid w:val="00292C41"/>
    <w:rsid w:val="002A299F"/>
    <w:rsid w:val="002A6DDD"/>
    <w:rsid w:val="002A703E"/>
    <w:rsid w:val="002A7CC3"/>
    <w:rsid w:val="002B00B5"/>
    <w:rsid w:val="002B1663"/>
    <w:rsid w:val="002B41A0"/>
    <w:rsid w:val="002B7993"/>
    <w:rsid w:val="002C006B"/>
    <w:rsid w:val="002C1814"/>
    <w:rsid w:val="002C24F4"/>
    <w:rsid w:val="002C375C"/>
    <w:rsid w:val="002C57BB"/>
    <w:rsid w:val="002D1996"/>
    <w:rsid w:val="002E3631"/>
    <w:rsid w:val="002E4570"/>
    <w:rsid w:val="002E5E29"/>
    <w:rsid w:val="002E62AB"/>
    <w:rsid w:val="002E6407"/>
    <w:rsid w:val="002E6C72"/>
    <w:rsid w:val="002E6E3F"/>
    <w:rsid w:val="002E7951"/>
    <w:rsid w:val="002E7EB0"/>
    <w:rsid w:val="002F1AED"/>
    <w:rsid w:val="002F46E6"/>
    <w:rsid w:val="003003CC"/>
    <w:rsid w:val="00300888"/>
    <w:rsid w:val="00304B4C"/>
    <w:rsid w:val="0030752C"/>
    <w:rsid w:val="00307C00"/>
    <w:rsid w:val="00310671"/>
    <w:rsid w:val="003109BF"/>
    <w:rsid w:val="003137B8"/>
    <w:rsid w:val="00314339"/>
    <w:rsid w:val="00314591"/>
    <w:rsid w:val="00320815"/>
    <w:rsid w:val="00322B27"/>
    <w:rsid w:val="00322B51"/>
    <w:rsid w:val="00322D9B"/>
    <w:rsid w:val="00325A77"/>
    <w:rsid w:val="00326550"/>
    <w:rsid w:val="00327DBB"/>
    <w:rsid w:val="0033055D"/>
    <w:rsid w:val="003310EE"/>
    <w:rsid w:val="003319D6"/>
    <w:rsid w:val="00335440"/>
    <w:rsid w:val="00336D17"/>
    <w:rsid w:val="00340549"/>
    <w:rsid w:val="0034202F"/>
    <w:rsid w:val="00342A2F"/>
    <w:rsid w:val="00342D10"/>
    <w:rsid w:val="003463F6"/>
    <w:rsid w:val="00352844"/>
    <w:rsid w:val="00354DB9"/>
    <w:rsid w:val="0036007A"/>
    <w:rsid w:val="003613E3"/>
    <w:rsid w:val="00362F90"/>
    <w:rsid w:val="003679EA"/>
    <w:rsid w:val="00367FA7"/>
    <w:rsid w:val="00370341"/>
    <w:rsid w:val="00371741"/>
    <w:rsid w:val="00376348"/>
    <w:rsid w:val="00376A18"/>
    <w:rsid w:val="003813D1"/>
    <w:rsid w:val="003824CE"/>
    <w:rsid w:val="003826D4"/>
    <w:rsid w:val="00383188"/>
    <w:rsid w:val="003876DA"/>
    <w:rsid w:val="0038794B"/>
    <w:rsid w:val="00397298"/>
    <w:rsid w:val="003A0682"/>
    <w:rsid w:val="003A182F"/>
    <w:rsid w:val="003A212C"/>
    <w:rsid w:val="003A5C10"/>
    <w:rsid w:val="003A63C9"/>
    <w:rsid w:val="003A6C12"/>
    <w:rsid w:val="003A7209"/>
    <w:rsid w:val="003B0B6D"/>
    <w:rsid w:val="003B2426"/>
    <w:rsid w:val="003B41DD"/>
    <w:rsid w:val="003B5D0E"/>
    <w:rsid w:val="003B7CCB"/>
    <w:rsid w:val="003C0B21"/>
    <w:rsid w:val="003C7A2E"/>
    <w:rsid w:val="003D2436"/>
    <w:rsid w:val="003D7B7A"/>
    <w:rsid w:val="003D7F7E"/>
    <w:rsid w:val="003E0051"/>
    <w:rsid w:val="003E5FA6"/>
    <w:rsid w:val="003E5FCA"/>
    <w:rsid w:val="003E75EF"/>
    <w:rsid w:val="003F2037"/>
    <w:rsid w:val="003F22D3"/>
    <w:rsid w:val="003F4905"/>
    <w:rsid w:val="003F4DE7"/>
    <w:rsid w:val="003F5765"/>
    <w:rsid w:val="00400DAB"/>
    <w:rsid w:val="004035B2"/>
    <w:rsid w:val="00407AF8"/>
    <w:rsid w:val="00412F31"/>
    <w:rsid w:val="00412FA6"/>
    <w:rsid w:val="004133CD"/>
    <w:rsid w:val="004143C0"/>
    <w:rsid w:val="004177EE"/>
    <w:rsid w:val="00420BF2"/>
    <w:rsid w:val="004215A6"/>
    <w:rsid w:val="00422ABC"/>
    <w:rsid w:val="00422DC4"/>
    <w:rsid w:val="00424778"/>
    <w:rsid w:val="00427717"/>
    <w:rsid w:val="00427FA5"/>
    <w:rsid w:val="00433651"/>
    <w:rsid w:val="00433F9D"/>
    <w:rsid w:val="004345D4"/>
    <w:rsid w:val="00436BA4"/>
    <w:rsid w:val="0044313A"/>
    <w:rsid w:val="00445B0D"/>
    <w:rsid w:val="00445FEE"/>
    <w:rsid w:val="00446BE4"/>
    <w:rsid w:val="004478CA"/>
    <w:rsid w:val="00451D20"/>
    <w:rsid w:val="00453872"/>
    <w:rsid w:val="00453DB6"/>
    <w:rsid w:val="004542F2"/>
    <w:rsid w:val="00454FA7"/>
    <w:rsid w:val="004569DF"/>
    <w:rsid w:val="004648BB"/>
    <w:rsid w:val="004701C8"/>
    <w:rsid w:val="00470C78"/>
    <w:rsid w:val="00470E81"/>
    <w:rsid w:val="0047550E"/>
    <w:rsid w:val="0047639C"/>
    <w:rsid w:val="004772A6"/>
    <w:rsid w:val="0047733F"/>
    <w:rsid w:val="00487454"/>
    <w:rsid w:val="00487709"/>
    <w:rsid w:val="004906F5"/>
    <w:rsid w:val="00491C4D"/>
    <w:rsid w:val="004926FF"/>
    <w:rsid w:val="004953D1"/>
    <w:rsid w:val="004954E9"/>
    <w:rsid w:val="0049778E"/>
    <w:rsid w:val="004A03F5"/>
    <w:rsid w:val="004A27C6"/>
    <w:rsid w:val="004A5BA7"/>
    <w:rsid w:val="004A6D2C"/>
    <w:rsid w:val="004B0252"/>
    <w:rsid w:val="004B0B51"/>
    <w:rsid w:val="004B0F90"/>
    <w:rsid w:val="004B10DB"/>
    <w:rsid w:val="004B5894"/>
    <w:rsid w:val="004B58DE"/>
    <w:rsid w:val="004B6252"/>
    <w:rsid w:val="004B787D"/>
    <w:rsid w:val="004C4E90"/>
    <w:rsid w:val="004C57BC"/>
    <w:rsid w:val="004C6673"/>
    <w:rsid w:val="004D1AFD"/>
    <w:rsid w:val="004D3642"/>
    <w:rsid w:val="004D4A69"/>
    <w:rsid w:val="004D751B"/>
    <w:rsid w:val="004E1685"/>
    <w:rsid w:val="004E3746"/>
    <w:rsid w:val="004E3C83"/>
    <w:rsid w:val="004E4B4F"/>
    <w:rsid w:val="004E56ED"/>
    <w:rsid w:val="004E66B9"/>
    <w:rsid w:val="004E68ED"/>
    <w:rsid w:val="004F121A"/>
    <w:rsid w:val="004F3EA9"/>
    <w:rsid w:val="004F62E8"/>
    <w:rsid w:val="005060FA"/>
    <w:rsid w:val="00506C50"/>
    <w:rsid w:val="00513E89"/>
    <w:rsid w:val="005141FA"/>
    <w:rsid w:val="0051607C"/>
    <w:rsid w:val="00516AE2"/>
    <w:rsid w:val="00520B58"/>
    <w:rsid w:val="00526748"/>
    <w:rsid w:val="0052686C"/>
    <w:rsid w:val="00526D2F"/>
    <w:rsid w:val="005328F6"/>
    <w:rsid w:val="00542DE5"/>
    <w:rsid w:val="00543B1E"/>
    <w:rsid w:val="00546378"/>
    <w:rsid w:val="0055377D"/>
    <w:rsid w:val="00554DA5"/>
    <w:rsid w:val="00555D72"/>
    <w:rsid w:val="0056226E"/>
    <w:rsid w:val="00566329"/>
    <w:rsid w:val="00571290"/>
    <w:rsid w:val="005726EE"/>
    <w:rsid w:val="00572707"/>
    <w:rsid w:val="00576996"/>
    <w:rsid w:val="0058077E"/>
    <w:rsid w:val="005841B3"/>
    <w:rsid w:val="00586812"/>
    <w:rsid w:val="00592549"/>
    <w:rsid w:val="00593449"/>
    <w:rsid w:val="005A1ED8"/>
    <w:rsid w:val="005A2652"/>
    <w:rsid w:val="005A26E9"/>
    <w:rsid w:val="005A2E2B"/>
    <w:rsid w:val="005A3635"/>
    <w:rsid w:val="005A789D"/>
    <w:rsid w:val="005B2437"/>
    <w:rsid w:val="005B3D4F"/>
    <w:rsid w:val="005B41E5"/>
    <w:rsid w:val="005B5DD1"/>
    <w:rsid w:val="005B6B8A"/>
    <w:rsid w:val="005B7C97"/>
    <w:rsid w:val="005C170B"/>
    <w:rsid w:val="005C1DD4"/>
    <w:rsid w:val="005C235E"/>
    <w:rsid w:val="005C2E62"/>
    <w:rsid w:val="005C3B69"/>
    <w:rsid w:val="005C7A86"/>
    <w:rsid w:val="005D42C0"/>
    <w:rsid w:val="005D7442"/>
    <w:rsid w:val="005D77F6"/>
    <w:rsid w:val="005E48FB"/>
    <w:rsid w:val="005F15D8"/>
    <w:rsid w:val="005F6B05"/>
    <w:rsid w:val="005F72BA"/>
    <w:rsid w:val="005F76ED"/>
    <w:rsid w:val="005F7D84"/>
    <w:rsid w:val="00602E3C"/>
    <w:rsid w:val="00602EF3"/>
    <w:rsid w:val="00610CE5"/>
    <w:rsid w:val="00612180"/>
    <w:rsid w:val="00612532"/>
    <w:rsid w:val="006129BA"/>
    <w:rsid w:val="006151C7"/>
    <w:rsid w:val="0061657D"/>
    <w:rsid w:val="006178D7"/>
    <w:rsid w:val="00622E45"/>
    <w:rsid w:val="00624BB0"/>
    <w:rsid w:val="00624EBF"/>
    <w:rsid w:val="00625A9A"/>
    <w:rsid w:val="00626073"/>
    <w:rsid w:val="00626AE2"/>
    <w:rsid w:val="006308E9"/>
    <w:rsid w:val="00634353"/>
    <w:rsid w:val="00636D4B"/>
    <w:rsid w:val="00637526"/>
    <w:rsid w:val="0064391D"/>
    <w:rsid w:val="00644E15"/>
    <w:rsid w:val="00645230"/>
    <w:rsid w:val="006456EE"/>
    <w:rsid w:val="00646391"/>
    <w:rsid w:val="00651F2B"/>
    <w:rsid w:val="00651FC8"/>
    <w:rsid w:val="00654B31"/>
    <w:rsid w:val="00657004"/>
    <w:rsid w:val="00657DC6"/>
    <w:rsid w:val="00660B74"/>
    <w:rsid w:val="006612E3"/>
    <w:rsid w:val="00661739"/>
    <w:rsid w:val="00661E0F"/>
    <w:rsid w:val="0066318E"/>
    <w:rsid w:val="006648C1"/>
    <w:rsid w:val="00666182"/>
    <w:rsid w:val="00666B33"/>
    <w:rsid w:val="00673100"/>
    <w:rsid w:val="006766FD"/>
    <w:rsid w:val="00676711"/>
    <w:rsid w:val="0068091A"/>
    <w:rsid w:val="00681810"/>
    <w:rsid w:val="00697CE5"/>
    <w:rsid w:val="006A070D"/>
    <w:rsid w:val="006A3516"/>
    <w:rsid w:val="006A6AB1"/>
    <w:rsid w:val="006A6CAF"/>
    <w:rsid w:val="006B13CD"/>
    <w:rsid w:val="006B1DD6"/>
    <w:rsid w:val="006B22E3"/>
    <w:rsid w:val="006B2B87"/>
    <w:rsid w:val="006B41B3"/>
    <w:rsid w:val="006B449B"/>
    <w:rsid w:val="006B797E"/>
    <w:rsid w:val="006C03AE"/>
    <w:rsid w:val="006C056D"/>
    <w:rsid w:val="006C141B"/>
    <w:rsid w:val="006C1F91"/>
    <w:rsid w:val="006C4A44"/>
    <w:rsid w:val="006C5B51"/>
    <w:rsid w:val="006C6CBC"/>
    <w:rsid w:val="006C74A2"/>
    <w:rsid w:val="006C7DD0"/>
    <w:rsid w:val="006D03A4"/>
    <w:rsid w:val="006D0EAD"/>
    <w:rsid w:val="006D2423"/>
    <w:rsid w:val="006D4D35"/>
    <w:rsid w:val="006D51C4"/>
    <w:rsid w:val="006D5729"/>
    <w:rsid w:val="006D5C72"/>
    <w:rsid w:val="006D6910"/>
    <w:rsid w:val="006E1A7A"/>
    <w:rsid w:val="006E2483"/>
    <w:rsid w:val="006E309D"/>
    <w:rsid w:val="006E69AB"/>
    <w:rsid w:val="006E7126"/>
    <w:rsid w:val="006E7BF0"/>
    <w:rsid w:val="006E7CA3"/>
    <w:rsid w:val="006F0E42"/>
    <w:rsid w:val="006F1357"/>
    <w:rsid w:val="006F7B7D"/>
    <w:rsid w:val="007029B1"/>
    <w:rsid w:val="00710D0A"/>
    <w:rsid w:val="00716226"/>
    <w:rsid w:val="00716E72"/>
    <w:rsid w:val="0072050A"/>
    <w:rsid w:val="00720A63"/>
    <w:rsid w:val="00722266"/>
    <w:rsid w:val="00722EF9"/>
    <w:rsid w:val="007234D3"/>
    <w:rsid w:val="00724459"/>
    <w:rsid w:val="00730E73"/>
    <w:rsid w:val="007341B2"/>
    <w:rsid w:val="0073676D"/>
    <w:rsid w:val="007423E1"/>
    <w:rsid w:val="0074670D"/>
    <w:rsid w:val="0074779B"/>
    <w:rsid w:val="00747B57"/>
    <w:rsid w:val="007513EA"/>
    <w:rsid w:val="00751768"/>
    <w:rsid w:val="00751FD2"/>
    <w:rsid w:val="00755DF8"/>
    <w:rsid w:val="00761410"/>
    <w:rsid w:val="00761B14"/>
    <w:rsid w:val="00763B09"/>
    <w:rsid w:val="00763E5D"/>
    <w:rsid w:val="00765B32"/>
    <w:rsid w:val="00767E9A"/>
    <w:rsid w:val="007704B6"/>
    <w:rsid w:val="00770C39"/>
    <w:rsid w:val="0077492D"/>
    <w:rsid w:val="0077597C"/>
    <w:rsid w:val="0077788B"/>
    <w:rsid w:val="00780ABB"/>
    <w:rsid w:val="00782901"/>
    <w:rsid w:val="00782E1C"/>
    <w:rsid w:val="007836A2"/>
    <w:rsid w:val="007848DE"/>
    <w:rsid w:val="00784E75"/>
    <w:rsid w:val="00787D56"/>
    <w:rsid w:val="00791B9D"/>
    <w:rsid w:val="00792019"/>
    <w:rsid w:val="007A0D5A"/>
    <w:rsid w:val="007A71B7"/>
    <w:rsid w:val="007A7FD6"/>
    <w:rsid w:val="007B028B"/>
    <w:rsid w:val="007B16BD"/>
    <w:rsid w:val="007B2D5F"/>
    <w:rsid w:val="007B36DC"/>
    <w:rsid w:val="007B4268"/>
    <w:rsid w:val="007B52BE"/>
    <w:rsid w:val="007B536B"/>
    <w:rsid w:val="007B666E"/>
    <w:rsid w:val="007B770A"/>
    <w:rsid w:val="007C34EA"/>
    <w:rsid w:val="007C3A55"/>
    <w:rsid w:val="007C4354"/>
    <w:rsid w:val="007C56CA"/>
    <w:rsid w:val="007D0641"/>
    <w:rsid w:val="007D5246"/>
    <w:rsid w:val="007E3297"/>
    <w:rsid w:val="007F1C4F"/>
    <w:rsid w:val="007F2399"/>
    <w:rsid w:val="007F282B"/>
    <w:rsid w:val="007F2C01"/>
    <w:rsid w:val="007F2FC5"/>
    <w:rsid w:val="007F6CBD"/>
    <w:rsid w:val="00800759"/>
    <w:rsid w:val="008024B2"/>
    <w:rsid w:val="00804A26"/>
    <w:rsid w:val="00805417"/>
    <w:rsid w:val="0080595F"/>
    <w:rsid w:val="00806886"/>
    <w:rsid w:val="00812683"/>
    <w:rsid w:val="008165C7"/>
    <w:rsid w:val="00817ACF"/>
    <w:rsid w:val="008212AE"/>
    <w:rsid w:val="00822849"/>
    <w:rsid w:val="008329BE"/>
    <w:rsid w:val="008332CE"/>
    <w:rsid w:val="00834287"/>
    <w:rsid w:val="00834652"/>
    <w:rsid w:val="00834E45"/>
    <w:rsid w:val="00835B77"/>
    <w:rsid w:val="00840EE1"/>
    <w:rsid w:val="0084156F"/>
    <w:rsid w:val="00844404"/>
    <w:rsid w:val="0085014C"/>
    <w:rsid w:val="008515E6"/>
    <w:rsid w:val="00852D68"/>
    <w:rsid w:val="008557AF"/>
    <w:rsid w:val="0086051B"/>
    <w:rsid w:val="0086277D"/>
    <w:rsid w:val="00863E6E"/>
    <w:rsid w:val="00873E44"/>
    <w:rsid w:val="0087454C"/>
    <w:rsid w:val="00875540"/>
    <w:rsid w:val="008756BE"/>
    <w:rsid w:val="008758C9"/>
    <w:rsid w:val="00876C5F"/>
    <w:rsid w:val="00877563"/>
    <w:rsid w:val="00880454"/>
    <w:rsid w:val="008808A7"/>
    <w:rsid w:val="00883461"/>
    <w:rsid w:val="00883D34"/>
    <w:rsid w:val="00885270"/>
    <w:rsid w:val="00887928"/>
    <w:rsid w:val="008907DD"/>
    <w:rsid w:val="008929DB"/>
    <w:rsid w:val="00894063"/>
    <w:rsid w:val="00894FCE"/>
    <w:rsid w:val="008A1D00"/>
    <w:rsid w:val="008A2553"/>
    <w:rsid w:val="008A2700"/>
    <w:rsid w:val="008A29A0"/>
    <w:rsid w:val="008A6465"/>
    <w:rsid w:val="008B13C2"/>
    <w:rsid w:val="008B36A5"/>
    <w:rsid w:val="008B42F9"/>
    <w:rsid w:val="008B65EA"/>
    <w:rsid w:val="008B6751"/>
    <w:rsid w:val="008C0B57"/>
    <w:rsid w:val="008C271E"/>
    <w:rsid w:val="008C6518"/>
    <w:rsid w:val="008D1A87"/>
    <w:rsid w:val="008D32F9"/>
    <w:rsid w:val="008D3889"/>
    <w:rsid w:val="008D719D"/>
    <w:rsid w:val="008E0795"/>
    <w:rsid w:val="008E0EAA"/>
    <w:rsid w:val="008E11DD"/>
    <w:rsid w:val="008E1D33"/>
    <w:rsid w:val="008E7742"/>
    <w:rsid w:val="008F0673"/>
    <w:rsid w:val="008F10DB"/>
    <w:rsid w:val="008F2D5E"/>
    <w:rsid w:val="008F3A3B"/>
    <w:rsid w:val="008F3F2F"/>
    <w:rsid w:val="008F62A8"/>
    <w:rsid w:val="008F6662"/>
    <w:rsid w:val="008F69D9"/>
    <w:rsid w:val="008F701B"/>
    <w:rsid w:val="008F715C"/>
    <w:rsid w:val="0090423E"/>
    <w:rsid w:val="00905915"/>
    <w:rsid w:val="00905C0B"/>
    <w:rsid w:val="00906F5E"/>
    <w:rsid w:val="009074D7"/>
    <w:rsid w:val="00907A4F"/>
    <w:rsid w:val="00912E4A"/>
    <w:rsid w:val="0091530E"/>
    <w:rsid w:val="009178AF"/>
    <w:rsid w:val="009213E5"/>
    <w:rsid w:val="00921A6C"/>
    <w:rsid w:val="00925C4F"/>
    <w:rsid w:val="009276D3"/>
    <w:rsid w:val="00927B26"/>
    <w:rsid w:val="00932486"/>
    <w:rsid w:val="00933FB2"/>
    <w:rsid w:val="00934D34"/>
    <w:rsid w:val="009355BB"/>
    <w:rsid w:val="00935B71"/>
    <w:rsid w:val="009416EC"/>
    <w:rsid w:val="009418F5"/>
    <w:rsid w:val="009425F2"/>
    <w:rsid w:val="00942C27"/>
    <w:rsid w:val="00944B54"/>
    <w:rsid w:val="00951A99"/>
    <w:rsid w:val="00952D47"/>
    <w:rsid w:val="00956710"/>
    <w:rsid w:val="00960DA4"/>
    <w:rsid w:val="00963E54"/>
    <w:rsid w:val="009660DA"/>
    <w:rsid w:val="00973775"/>
    <w:rsid w:val="00974025"/>
    <w:rsid w:val="00974BB0"/>
    <w:rsid w:val="0097633D"/>
    <w:rsid w:val="0097747D"/>
    <w:rsid w:val="009814B5"/>
    <w:rsid w:val="0098263F"/>
    <w:rsid w:val="00982751"/>
    <w:rsid w:val="0098432C"/>
    <w:rsid w:val="00985161"/>
    <w:rsid w:val="00987065"/>
    <w:rsid w:val="00990193"/>
    <w:rsid w:val="00991F2F"/>
    <w:rsid w:val="00994E0D"/>
    <w:rsid w:val="00996299"/>
    <w:rsid w:val="009A4F1C"/>
    <w:rsid w:val="009B037F"/>
    <w:rsid w:val="009B5E6F"/>
    <w:rsid w:val="009B6B9D"/>
    <w:rsid w:val="009B6EAB"/>
    <w:rsid w:val="009C00E6"/>
    <w:rsid w:val="009C71ED"/>
    <w:rsid w:val="009C7292"/>
    <w:rsid w:val="009D0AF3"/>
    <w:rsid w:val="009D3DA1"/>
    <w:rsid w:val="009D4557"/>
    <w:rsid w:val="009D7A7B"/>
    <w:rsid w:val="009E318B"/>
    <w:rsid w:val="009E5357"/>
    <w:rsid w:val="009E7D0A"/>
    <w:rsid w:val="009F0FF6"/>
    <w:rsid w:val="009F10F7"/>
    <w:rsid w:val="009F1915"/>
    <w:rsid w:val="009F2366"/>
    <w:rsid w:val="009F24F1"/>
    <w:rsid w:val="009F2C62"/>
    <w:rsid w:val="009F4961"/>
    <w:rsid w:val="009F5BE4"/>
    <w:rsid w:val="009F5DFB"/>
    <w:rsid w:val="009F64A8"/>
    <w:rsid w:val="009F7E29"/>
    <w:rsid w:val="00A01244"/>
    <w:rsid w:val="00A02E60"/>
    <w:rsid w:val="00A03912"/>
    <w:rsid w:val="00A06931"/>
    <w:rsid w:val="00A1410B"/>
    <w:rsid w:val="00A146B1"/>
    <w:rsid w:val="00A15BF8"/>
    <w:rsid w:val="00A16FC7"/>
    <w:rsid w:val="00A172C9"/>
    <w:rsid w:val="00A1763D"/>
    <w:rsid w:val="00A2195A"/>
    <w:rsid w:val="00A24777"/>
    <w:rsid w:val="00A24CE5"/>
    <w:rsid w:val="00A27782"/>
    <w:rsid w:val="00A3278D"/>
    <w:rsid w:val="00A35AA1"/>
    <w:rsid w:val="00A35E95"/>
    <w:rsid w:val="00A36498"/>
    <w:rsid w:val="00A40950"/>
    <w:rsid w:val="00A40999"/>
    <w:rsid w:val="00A5042E"/>
    <w:rsid w:val="00A50441"/>
    <w:rsid w:val="00A51C9F"/>
    <w:rsid w:val="00A54B76"/>
    <w:rsid w:val="00A55A1F"/>
    <w:rsid w:val="00A6199E"/>
    <w:rsid w:val="00A653A4"/>
    <w:rsid w:val="00A65A47"/>
    <w:rsid w:val="00A66816"/>
    <w:rsid w:val="00A66A71"/>
    <w:rsid w:val="00A66ABF"/>
    <w:rsid w:val="00A66F65"/>
    <w:rsid w:val="00A70025"/>
    <w:rsid w:val="00A70BBA"/>
    <w:rsid w:val="00A71426"/>
    <w:rsid w:val="00A73F99"/>
    <w:rsid w:val="00A743F3"/>
    <w:rsid w:val="00A74B28"/>
    <w:rsid w:val="00A751FE"/>
    <w:rsid w:val="00A80B12"/>
    <w:rsid w:val="00A80F68"/>
    <w:rsid w:val="00A81652"/>
    <w:rsid w:val="00A86CD3"/>
    <w:rsid w:val="00A86EBE"/>
    <w:rsid w:val="00A93ABB"/>
    <w:rsid w:val="00A93F60"/>
    <w:rsid w:val="00A9458F"/>
    <w:rsid w:val="00AB2611"/>
    <w:rsid w:val="00AB4555"/>
    <w:rsid w:val="00AB4FBC"/>
    <w:rsid w:val="00AB4FE2"/>
    <w:rsid w:val="00AB53BB"/>
    <w:rsid w:val="00AB7DC4"/>
    <w:rsid w:val="00AC553B"/>
    <w:rsid w:val="00AC7EDD"/>
    <w:rsid w:val="00AD0991"/>
    <w:rsid w:val="00AE04EE"/>
    <w:rsid w:val="00AF1516"/>
    <w:rsid w:val="00AF30E8"/>
    <w:rsid w:val="00AF3D78"/>
    <w:rsid w:val="00AF68D0"/>
    <w:rsid w:val="00AF75AF"/>
    <w:rsid w:val="00B0043F"/>
    <w:rsid w:val="00B03FCF"/>
    <w:rsid w:val="00B045BB"/>
    <w:rsid w:val="00B046F2"/>
    <w:rsid w:val="00B05997"/>
    <w:rsid w:val="00B11AB5"/>
    <w:rsid w:val="00B12772"/>
    <w:rsid w:val="00B15FD8"/>
    <w:rsid w:val="00B207CA"/>
    <w:rsid w:val="00B22CEB"/>
    <w:rsid w:val="00B232C0"/>
    <w:rsid w:val="00B24E8B"/>
    <w:rsid w:val="00B2690C"/>
    <w:rsid w:val="00B27F5F"/>
    <w:rsid w:val="00B30A5F"/>
    <w:rsid w:val="00B32F3E"/>
    <w:rsid w:val="00B346D5"/>
    <w:rsid w:val="00B34B05"/>
    <w:rsid w:val="00B37F3B"/>
    <w:rsid w:val="00B40936"/>
    <w:rsid w:val="00B40D36"/>
    <w:rsid w:val="00B429D5"/>
    <w:rsid w:val="00B43008"/>
    <w:rsid w:val="00B512CA"/>
    <w:rsid w:val="00B53EBF"/>
    <w:rsid w:val="00B54999"/>
    <w:rsid w:val="00B60BE5"/>
    <w:rsid w:val="00B61897"/>
    <w:rsid w:val="00B627B1"/>
    <w:rsid w:val="00B629F7"/>
    <w:rsid w:val="00B63B38"/>
    <w:rsid w:val="00B71190"/>
    <w:rsid w:val="00B763DB"/>
    <w:rsid w:val="00B77AA2"/>
    <w:rsid w:val="00B824C4"/>
    <w:rsid w:val="00B84EBA"/>
    <w:rsid w:val="00B90607"/>
    <w:rsid w:val="00BA137F"/>
    <w:rsid w:val="00BA29E3"/>
    <w:rsid w:val="00BA5E8F"/>
    <w:rsid w:val="00BA63CD"/>
    <w:rsid w:val="00BB06A5"/>
    <w:rsid w:val="00BB1ECD"/>
    <w:rsid w:val="00BB5D62"/>
    <w:rsid w:val="00BB6478"/>
    <w:rsid w:val="00BC1189"/>
    <w:rsid w:val="00BC4A9B"/>
    <w:rsid w:val="00BC5876"/>
    <w:rsid w:val="00BD0CC1"/>
    <w:rsid w:val="00BD1A8E"/>
    <w:rsid w:val="00BD2438"/>
    <w:rsid w:val="00BD3BBB"/>
    <w:rsid w:val="00BD570F"/>
    <w:rsid w:val="00BD5CCD"/>
    <w:rsid w:val="00BD6C7B"/>
    <w:rsid w:val="00BD6FC2"/>
    <w:rsid w:val="00BD7E2E"/>
    <w:rsid w:val="00BE076C"/>
    <w:rsid w:val="00BE1C3C"/>
    <w:rsid w:val="00BE474B"/>
    <w:rsid w:val="00BE506E"/>
    <w:rsid w:val="00BF042A"/>
    <w:rsid w:val="00BF137F"/>
    <w:rsid w:val="00BF1792"/>
    <w:rsid w:val="00BF66A1"/>
    <w:rsid w:val="00C00746"/>
    <w:rsid w:val="00C01395"/>
    <w:rsid w:val="00C06EF1"/>
    <w:rsid w:val="00C075CD"/>
    <w:rsid w:val="00C1725D"/>
    <w:rsid w:val="00C20A0F"/>
    <w:rsid w:val="00C217E6"/>
    <w:rsid w:val="00C21C79"/>
    <w:rsid w:val="00C23F78"/>
    <w:rsid w:val="00C30E74"/>
    <w:rsid w:val="00C3126A"/>
    <w:rsid w:val="00C32702"/>
    <w:rsid w:val="00C3448C"/>
    <w:rsid w:val="00C34E57"/>
    <w:rsid w:val="00C35312"/>
    <w:rsid w:val="00C37331"/>
    <w:rsid w:val="00C40742"/>
    <w:rsid w:val="00C41306"/>
    <w:rsid w:val="00C41E9D"/>
    <w:rsid w:val="00C41FA2"/>
    <w:rsid w:val="00C422E6"/>
    <w:rsid w:val="00C46D9D"/>
    <w:rsid w:val="00C533FD"/>
    <w:rsid w:val="00C53C01"/>
    <w:rsid w:val="00C54A15"/>
    <w:rsid w:val="00C54E9F"/>
    <w:rsid w:val="00C54FA0"/>
    <w:rsid w:val="00C55E7A"/>
    <w:rsid w:val="00C5608F"/>
    <w:rsid w:val="00C572DD"/>
    <w:rsid w:val="00C74038"/>
    <w:rsid w:val="00C74612"/>
    <w:rsid w:val="00C758C8"/>
    <w:rsid w:val="00C8066F"/>
    <w:rsid w:val="00C83284"/>
    <w:rsid w:val="00C8611A"/>
    <w:rsid w:val="00C873F1"/>
    <w:rsid w:val="00C924D2"/>
    <w:rsid w:val="00C9430A"/>
    <w:rsid w:val="00C95A78"/>
    <w:rsid w:val="00C96C0A"/>
    <w:rsid w:val="00C975F3"/>
    <w:rsid w:val="00CA0892"/>
    <w:rsid w:val="00CA37FF"/>
    <w:rsid w:val="00CA5977"/>
    <w:rsid w:val="00CA5E6B"/>
    <w:rsid w:val="00CA694B"/>
    <w:rsid w:val="00CB149E"/>
    <w:rsid w:val="00CC0170"/>
    <w:rsid w:val="00CC068C"/>
    <w:rsid w:val="00CC0D26"/>
    <w:rsid w:val="00CC2330"/>
    <w:rsid w:val="00CC4658"/>
    <w:rsid w:val="00CC56E6"/>
    <w:rsid w:val="00CC74F7"/>
    <w:rsid w:val="00CC7C50"/>
    <w:rsid w:val="00CD07FF"/>
    <w:rsid w:val="00CD3537"/>
    <w:rsid w:val="00CD3767"/>
    <w:rsid w:val="00CD3BD4"/>
    <w:rsid w:val="00CE00B5"/>
    <w:rsid w:val="00CE14E9"/>
    <w:rsid w:val="00CE604F"/>
    <w:rsid w:val="00CF1070"/>
    <w:rsid w:val="00CF5668"/>
    <w:rsid w:val="00CF6440"/>
    <w:rsid w:val="00D03714"/>
    <w:rsid w:val="00D04348"/>
    <w:rsid w:val="00D1097E"/>
    <w:rsid w:val="00D11563"/>
    <w:rsid w:val="00D11D9C"/>
    <w:rsid w:val="00D13E1E"/>
    <w:rsid w:val="00D226A4"/>
    <w:rsid w:val="00D23D11"/>
    <w:rsid w:val="00D2436C"/>
    <w:rsid w:val="00D2531E"/>
    <w:rsid w:val="00D260C2"/>
    <w:rsid w:val="00D2674A"/>
    <w:rsid w:val="00D30D9A"/>
    <w:rsid w:val="00D32023"/>
    <w:rsid w:val="00D32A7C"/>
    <w:rsid w:val="00D35ADE"/>
    <w:rsid w:val="00D35F76"/>
    <w:rsid w:val="00D422B6"/>
    <w:rsid w:val="00D42334"/>
    <w:rsid w:val="00D42701"/>
    <w:rsid w:val="00D4308D"/>
    <w:rsid w:val="00D4315D"/>
    <w:rsid w:val="00D44854"/>
    <w:rsid w:val="00D45AFE"/>
    <w:rsid w:val="00D517AE"/>
    <w:rsid w:val="00D528EF"/>
    <w:rsid w:val="00D529B2"/>
    <w:rsid w:val="00D6058F"/>
    <w:rsid w:val="00D66CD0"/>
    <w:rsid w:val="00D67C66"/>
    <w:rsid w:val="00D71049"/>
    <w:rsid w:val="00D71A9B"/>
    <w:rsid w:val="00D729F2"/>
    <w:rsid w:val="00D74580"/>
    <w:rsid w:val="00D74E6B"/>
    <w:rsid w:val="00D763DA"/>
    <w:rsid w:val="00D77D3F"/>
    <w:rsid w:val="00D8254A"/>
    <w:rsid w:val="00D83C4D"/>
    <w:rsid w:val="00D848F3"/>
    <w:rsid w:val="00D84B51"/>
    <w:rsid w:val="00D87017"/>
    <w:rsid w:val="00D878E0"/>
    <w:rsid w:val="00D922F1"/>
    <w:rsid w:val="00D94227"/>
    <w:rsid w:val="00D944EC"/>
    <w:rsid w:val="00D958FC"/>
    <w:rsid w:val="00D95F2E"/>
    <w:rsid w:val="00DA0870"/>
    <w:rsid w:val="00DA5A65"/>
    <w:rsid w:val="00DB18E9"/>
    <w:rsid w:val="00DB4D11"/>
    <w:rsid w:val="00DB5BB9"/>
    <w:rsid w:val="00DB61B8"/>
    <w:rsid w:val="00DB66E1"/>
    <w:rsid w:val="00DC2927"/>
    <w:rsid w:val="00DC3400"/>
    <w:rsid w:val="00DC39C9"/>
    <w:rsid w:val="00DC3E06"/>
    <w:rsid w:val="00DC5E59"/>
    <w:rsid w:val="00DC713E"/>
    <w:rsid w:val="00DC734A"/>
    <w:rsid w:val="00DD68E9"/>
    <w:rsid w:val="00DD77C8"/>
    <w:rsid w:val="00DE5763"/>
    <w:rsid w:val="00DE61A2"/>
    <w:rsid w:val="00DF15EB"/>
    <w:rsid w:val="00DF3819"/>
    <w:rsid w:val="00DF3A9D"/>
    <w:rsid w:val="00DF7EFC"/>
    <w:rsid w:val="00E01E44"/>
    <w:rsid w:val="00E06A8D"/>
    <w:rsid w:val="00E10177"/>
    <w:rsid w:val="00E11C86"/>
    <w:rsid w:val="00E12845"/>
    <w:rsid w:val="00E1705F"/>
    <w:rsid w:val="00E1747C"/>
    <w:rsid w:val="00E2258B"/>
    <w:rsid w:val="00E23C8D"/>
    <w:rsid w:val="00E25697"/>
    <w:rsid w:val="00E2764D"/>
    <w:rsid w:val="00E31DBF"/>
    <w:rsid w:val="00E33A2C"/>
    <w:rsid w:val="00E3533A"/>
    <w:rsid w:val="00E36F3F"/>
    <w:rsid w:val="00E40CE1"/>
    <w:rsid w:val="00E43164"/>
    <w:rsid w:val="00E431D1"/>
    <w:rsid w:val="00E43D3E"/>
    <w:rsid w:val="00E47DA0"/>
    <w:rsid w:val="00E507BE"/>
    <w:rsid w:val="00E51C2A"/>
    <w:rsid w:val="00E51EEC"/>
    <w:rsid w:val="00E535C3"/>
    <w:rsid w:val="00E53F62"/>
    <w:rsid w:val="00E6054B"/>
    <w:rsid w:val="00E61458"/>
    <w:rsid w:val="00E63D3C"/>
    <w:rsid w:val="00E648E5"/>
    <w:rsid w:val="00E66914"/>
    <w:rsid w:val="00E67148"/>
    <w:rsid w:val="00E716F8"/>
    <w:rsid w:val="00E71BA8"/>
    <w:rsid w:val="00E71E24"/>
    <w:rsid w:val="00E72734"/>
    <w:rsid w:val="00E75C67"/>
    <w:rsid w:val="00E810E5"/>
    <w:rsid w:val="00E8227B"/>
    <w:rsid w:val="00E87146"/>
    <w:rsid w:val="00E908DD"/>
    <w:rsid w:val="00E92542"/>
    <w:rsid w:val="00E929AE"/>
    <w:rsid w:val="00E96FF3"/>
    <w:rsid w:val="00EA04F3"/>
    <w:rsid w:val="00EA16BF"/>
    <w:rsid w:val="00EA1A02"/>
    <w:rsid w:val="00EA21FF"/>
    <w:rsid w:val="00EA4877"/>
    <w:rsid w:val="00EA7FF3"/>
    <w:rsid w:val="00EB4333"/>
    <w:rsid w:val="00EB4B44"/>
    <w:rsid w:val="00EB6BBE"/>
    <w:rsid w:val="00EC1B29"/>
    <w:rsid w:val="00ED3869"/>
    <w:rsid w:val="00ED3C18"/>
    <w:rsid w:val="00ED4D58"/>
    <w:rsid w:val="00ED628F"/>
    <w:rsid w:val="00ED7675"/>
    <w:rsid w:val="00EE5B45"/>
    <w:rsid w:val="00EE6156"/>
    <w:rsid w:val="00EF0225"/>
    <w:rsid w:val="00EF2967"/>
    <w:rsid w:val="00EF3DC1"/>
    <w:rsid w:val="00EF3DE3"/>
    <w:rsid w:val="00EF5D18"/>
    <w:rsid w:val="00F00215"/>
    <w:rsid w:val="00F035A4"/>
    <w:rsid w:val="00F067A9"/>
    <w:rsid w:val="00F06D4B"/>
    <w:rsid w:val="00F178A3"/>
    <w:rsid w:val="00F23B59"/>
    <w:rsid w:val="00F23C2D"/>
    <w:rsid w:val="00F2539C"/>
    <w:rsid w:val="00F261C6"/>
    <w:rsid w:val="00F26AF7"/>
    <w:rsid w:val="00F3081F"/>
    <w:rsid w:val="00F33BC7"/>
    <w:rsid w:val="00F34F1A"/>
    <w:rsid w:val="00F3645C"/>
    <w:rsid w:val="00F3763D"/>
    <w:rsid w:val="00F40261"/>
    <w:rsid w:val="00F45979"/>
    <w:rsid w:val="00F45CCF"/>
    <w:rsid w:val="00F536EB"/>
    <w:rsid w:val="00F57304"/>
    <w:rsid w:val="00F6266A"/>
    <w:rsid w:val="00F62813"/>
    <w:rsid w:val="00F62D73"/>
    <w:rsid w:val="00F638B6"/>
    <w:rsid w:val="00F638CB"/>
    <w:rsid w:val="00F6469E"/>
    <w:rsid w:val="00F66BD9"/>
    <w:rsid w:val="00F66E67"/>
    <w:rsid w:val="00F67FFB"/>
    <w:rsid w:val="00F70B20"/>
    <w:rsid w:val="00F7325C"/>
    <w:rsid w:val="00F73941"/>
    <w:rsid w:val="00F759C8"/>
    <w:rsid w:val="00F779D4"/>
    <w:rsid w:val="00F807EC"/>
    <w:rsid w:val="00F8085E"/>
    <w:rsid w:val="00F84630"/>
    <w:rsid w:val="00F85C87"/>
    <w:rsid w:val="00F8787C"/>
    <w:rsid w:val="00F94BB0"/>
    <w:rsid w:val="00F96183"/>
    <w:rsid w:val="00FA0E42"/>
    <w:rsid w:val="00FA11B0"/>
    <w:rsid w:val="00FA1EFB"/>
    <w:rsid w:val="00FA21AC"/>
    <w:rsid w:val="00FA2830"/>
    <w:rsid w:val="00FA2E98"/>
    <w:rsid w:val="00FB0BB9"/>
    <w:rsid w:val="00FB0DD8"/>
    <w:rsid w:val="00FB1A76"/>
    <w:rsid w:val="00FB1B49"/>
    <w:rsid w:val="00FB1F45"/>
    <w:rsid w:val="00FB21CF"/>
    <w:rsid w:val="00FB2A13"/>
    <w:rsid w:val="00FB2E9E"/>
    <w:rsid w:val="00FB49DF"/>
    <w:rsid w:val="00FC1BCC"/>
    <w:rsid w:val="00FC2444"/>
    <w:rsid w:val="00FC29AB"/>
    <w:rsid w:val="00FC3945"/>
    <w:rsid w:val="00FC3D8E"/>
    <w:rsid w:val="00FC40DC"/>
    <w:rsid w:val="00FC552D"/>
    <w:rsid w:val="00FC5923"/>
    <w:rsid w:val="00FC5C80"/>
    <w:rsid w:val="00FD00C4"/>
    <w:rsid w:val="00FD0DB5"/>
    <w:rsid w:val="00FD3B95"/>
    <w:rsid w:val="00FD462E"/>
    <w:rsid w:val="00FD4A0F"/>
    <w:rsid w:val="00FD4B24"/>
    <w:rsid w:val="00FD5049"/>
    <w:rsid w:val="00FD60EA"/>
    <w:rsid w:val="00FE1438"/>
    <w:rsid w:val="00FE236D"/>
    <w:rsid w:val="00FE4407"/>
    <w:rsid w:val="00FE6777"/>
    <w:rsid w:val="00FE7A81"/>
    <w:rsid w:val="00FF0282"/>
    <w:rsid w:val="00FF0A40"/>
    <w:rsid w:val="00FF0DFE"/>
    <w:rsid w:val="00FF5CE5"/>
    <w:rsid w:val="00FF70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224122"/>
  <w15:docId w15:val="{9EF5D079-483D-4E14-BF17-4833D4751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6518"/>
    <w:pPr>
      <w:spacing w:after="120"/>
    </w:pPr>
    <w:rPr>
      <w:rFonts w:asciiTheme="minorHAnsi" w:hAnsiTheme="minorHAnsi"/>
    </w:rPr>
  </w:style>
  <w:style w:type="paragraph" w:styleId="Heading1">
    <w:name w:val="heading 1"/>
    <w:basedOn w:val="Normal"/>
    <w:next w:val="Normal"/>
    <w:link w:val="Heading1Char"/>
    <w:uiPriority w:val="9"/>
    <w:qFormat/>
    <w:rsid w:val="00645230"/>
    <w:pPr>
      <w:keepNext/>
      <w:keepLines/>
      <w:spacing w:before="240" w:after="240"/>
      <w:outlineLvl w:val="0"/>
    </w:pPr>
    <w:rPr>
      <w:rFonts w:asciiTheme="majorHAnsi" w:eastAsiaTheme="majorEastAsia" w:hAnsiTheme="majorHAnsi" w:cstheme="majorBidi"/>
      <w:color w:val="10437F"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RTNormal">
    <w:name w:val="CRT_Normal"/>
    <w:link w:val="CRTNormalChar"/>
    <w:rsid w:val="003E5FA6"/>
    <w:rPr>
      <w:rFonts w:ascii="Modern Era" w:hAnsi="Modern Era"/>
      <w:szCs w:val="24"/>
      <w:lang w:eastAsia="en-US"/>
    </w:rPr>
  </w:style>
  <w:style w:type="paragraph" w:customStyle="1" w:styleId="CRTDate">
    <w:name w:val="CRT_Date"/>
    <w:basedOn w:val="CRTNormal"/>
    <w:qFormat/>
    <w:rsid w:val="003E5FA6"/>
    <w:pPr>
      <w:spacing w:after="360"/>
    </w:pPr>
    <w:rPr>
      <w:color w:val="165BAA" w:themeColor="text2"/>
      <w:sz w:val="48"/>
    </w:rPr>
  </w:style>
  <w:style w:type="paragraph" w:customStyle="1" w:styleId="CRTSenderName">
    <w:name w:val="CRT_SenderName"/>
    <w:basedOn w:val="CRTNormal"/>
    <w:rsid w:val="00B512CA"/>
  </w:style>
  <w:style w:type="paragraph" w:styleId="Header">
    <w:name w:val="header"/>
    <w:basedOn w:val="Normal"/>
    <w:rsid w:val="007A0D5A"/>
    <w:pPr>
      <w:tabs>
        <w:tab w:val="center" w:pos="4153"/>
        <w:tab w:val="right" w:pos="8306"/>
      </w:tabs>
    </w:pPr>
  </w:style>
  <w:style w:type="paragraph" w:styleId="Footer">
    <w:name w:val="footer"/>
    <w:basedOn w:val="Normal"/>
    <w:rsid w:val="007A0D5A"/>
    <w:pPr>
      <w:tabs>
        <w:tab w:val="center" w:pos="4153"/>
        <w:tab w:val="right" w:pos="8306"/>
      </w:tabs>
    </w:pPr>
  </w:style>
  <w:style w:type="paragraph" w:customStyle="1" w:styleId="CRTHeaderLeft">
    <w:name w:val="CRT_HeaderLeft"/>
    <w:basedOn w:val="CRTNormal"/>
    <w:rsid w:val="000504FD"/>
    <w:pPr>
      <w:spacing w:line="240" w:lineRule="exact"/>
    </w:pPr>
    <w:rPr>
      <w:sz w:val="16"/>
    </w:rPr>
  </w:style>
  <w:style w:type="paragraph" w:customStyle="1" w:styleId="CRTFooterLeft">
    <w:name w:val="CRT_FooterLeft"/>
    <w:basedOn w:val="CRTNormal"/>
    <w:rsid w:val="000504FD"/>
    <w:pPr>
      <w:spacing w:line="240" w:lineRule="exact"/>
    </w:pPr>
    <w:rPr>
      <w:sz w:val="16"/>
    </w:rPr>
  </w:style>
  <w:style w:type="paragraph" w:customStyle="1" w:styleId="CRTFooterRight">
    <w:name w:val="CRT_FooterRight"/>
    <w:basedOn w:val="CRTNormal"/>
    <w:rsid w:val="00887928"/>
    <w:pPr>
      <w:spacing w:line="240" w:lineRule="exact"/>
      <w:jc w:val="right"/>
    </w:pPr>
    <w:rPr>
      <w:sz w:val="16"/>
    </w:rPr>
  </w:style>
  <w:style w:type="paragraph" w:customStyle="1" w:styleId="CRTHeader">
    <w:name w:val="CRT_Header"/>
    <w:basedOn w:val="Normal"/>
    <w:rsid w:val="00D44854"/>
    <w:pPr>
      <w:spacing w:after="2880" w:line="240" w:lineRule="exact"/>
    </w:pPr>
    <w:rPr>
      <w:sz w:val="16"/>
      <w:szCs w:val="24"/>
      <w:lang w:eastAsia="en-US"/>
    </w:rPr>
  </w:style>
  <w:style w:type="paragraph" w:customStyle="1" w:styleId="CRTToAddress">
    <w:name w:val="CRT_ToAddress"/>
    <w:basedOn w:val="CRTNormal"/>
    <w:rsid w:val="00EA04F3"/>
    <w:pPr>
      <w:spacing w:line="300" w:lineRule="exact"/>
    </w:pPr>
  </w:style>
  <w:style w:type="paragraph" w:customStyle="1" w:styleId="CRTSenderPosition">
    <w:name w:val="CRT_SenderPosition"/>
    <w:basedOn w:val="CRTNormal"/>
    <w:rsid w:val="00B512CA"/>
  </w:style>
  <w:style w:type="paragraph" w:customStyle="1" w:styleId="CRTBodyText">
    <w:name w:val="CRT_BodyText"/>
    <w:basedOn w:val="CRTNormal"/>
    <w:rsid w:val="00673100"/>
    <w:pPr>
      <w:spacing w:before="120" w:after="240"/>
    </w:pPr>
  </w:style>
  <w:style w:type="paragraph" w:customStyle="1" w:styleId="CRTSignOff">
    <w:name w:val="CRT_SignOff"/>
    <w:basedOn w:val="CRTNormal"/>
    <w:rsid w:val="00B512CA"/>
    <w:pPr>
      <w:spacing w:before="480"/>
    </w:pPr>
  </w:style>
  <w:style w:type="paragraph" w:customStyle="1" w:styleId="CRTToName">
    <w:name w:val="CRT_ToName"/>
    <w:basedOn w:val="CRTNormal"/>
    <w:rsid w:val="008F0673"/>
    <w:pPr>
      <w:spacing w:before="240" w:after="240" w:line="300" w:lineRule="exact"/>
    </w:pPr>
  </w:style>
  <w:style w:type="paragraph" w:customStyle="1" w:styleId="CRTHeadingOne">
    <w:name w:val="CRT_HeadingOne"/>
    <w:basedOn w:val="CRTNormal"/>
    <w:next w:val="CRTBodyText"/>
    <w:rsid w:val="00673100"/>
    <w:pPr>
      <w:pBdr>
        <w:top w:val="single" w:sz="4" w:space="1" w:color="165BAA" w:themeColor="text2"/>
      </w:pBdr>
      <w:spacing w:after="120" w:line="300" w:lineRule="exact"/>
    </w:pPr>
    <w:rPr>
      <w:rFonts w:asciiTheme="majorHAnsi" w:hAnsiTheme="majorHAnsi"/>
      <w:color w:val="165BAA" w:themeColor="text2"/>
      <w:szCs w:val="22"/>
    </w:rPr>
  </w:style>
  <w:style w:type="paragraph" w:customStyle="1" w:styleId="CRTHeadingTwo">
    <w:name w:val="CRT_HeadingTwo"/>
    <w:basedOn w:val="CRTNormal"/>
    <w:next w:val="CRTBodyText"/>
    <w:rsid w:val="003E5FA6"/>
    <w:pPr>
      <w:spacing w:line="300" w:lineRule="exact"/>
    </w:pPr>
    <w:rPr>
      <w:rFonts w:asciiTheme="majorHAnsi" w:hAnsiTheme="majorHAnsi"/>
    </w:rPr>
  </w:style>
  <w:style w:type="paragraph" w:customStyle="1" w:styleId="CRTBullet">
    <w:name w:val="CRT_Bullet"/>
    <w:basedOn w:val="CRTNormal"/>
    <w:rsid w:val="00673100"/>
    <w:pPr>
      <w:numPr>
        <w:numId w:val="1"/>
      </w:numPr>
      <w:spacing w:before="120" w:after="240" w:line="300" w:lineRule="exact"/>
      <w:contextualSpacing/>
    </w:pPr>
  </w:style>
  <w:style w:type="paragraph" w:customStyle="1" w:styleId="CRTOfficeAddressOne">
    <w:name w:val="CRT_OfficeAddressOne"/>
    <w:basedOn w:val="CRTNormal"/>
    <w:rsid w:val="008F3F2F"/>
    <w:pPr>
      <w:spacing w:line="240" w:lineRule="exact"/>
    </w:pPr>
    <w:rPr>
      <w:b/>
    </w:rPr>
  </w:style>
  <w:style w:type="paragraph" w:customStyle="1" w:styleId="CRTOfficeAddressTwo">
    <w:name w:val="CRT_OfficeAddressTwo"/>
    <w:basedOn w:val="CRTNormal"/>
    <w:rsid w:val="008F3F2F"/>
    <w:pPr>
      <w:spacing w:line="240" w:lineRule="exact"/>
    </w:pPr>
  </w:style>
  <w:style w:type="paragraph" w:customStyle="1" w:styleId="CRTToAddressName">
    <w:name w:val="CRT_ToAddressName"/>
    <w:basedOn w:val="CRTNormal"/>
    <w:rsid w:val="005B3D4F"/>
    <w:pPr>
      <w:spacing w:line="300" w:lineRule="exact"/>
    </w:pPr>
  </w:style>
  <w:style w:type="paragraph" w:customStyle="1" w:styleId="CRTFPAddressTwo">
    <w:name w:val="CRT_FP_AddressTwo"/>
    <w:basedOn w:val="CRTNormal"/>
    <w:rsid w:val="009C00E6"/>
    <w:pPr>
      <w:spacing w:line="280" w:lineRule="exact"/>
    </w:pPr>
  </w:style>
  <w:style w:type="paragraph" w:customStyle="1" w:styleId="CRTFPImage">
    <w:name w:val="CRT_FP_Image"/>
    <w:basedOn w:val="CRTNormal"/>
    <w:rsid w:val="009C00E6"/>
    <w:rPr>
      <w:sz w:val="16"/>
    </w:rPr>
  </w:style>
  <w:style w:type="paragraph" w:customStyle="1" w:styleId="CRTSpace">
    <w:name w:val="CRT_Space"/>
    <w:basedOn w:val="CRTNormal"/>
    <w:rsid w:val="003E5FA6"/>
    <w:pPr>
      <w:spacing w:line="20" w:lineRule="exact"/>
    </w:pPr>
    <w:rPr>
      <w:sz w:val="2"/>
    </w:rPr>
  </w:style>
  <w:style w:type="paragraph" w:customStyle="1" w:styleId="CRTBulletNumber">
    <w:name w:val="CRT_BulletNumber"/>
    <w:basedOn w:val="CRTNormal"/>
    <w:rsid w:val="00673100"/>
    <w:pPr>
      <w:numPr>
        <w:numId w:val="3"/>
      </w:numPr>
      <w:spacing w:before="120" w:after="240"/>
      <w:contextualSpacing/>
    </w:pPr>
  </w:style>
  <w:style w:type="paragraph" w:customStyle="1" w:styleId="CRTHeadingThree">
    <w:name w:val="CRT_HeadingThree"/>
    <w:basedOn w:val="CRTNormal"/>
    <w:rsid w:val="003E5FA6"/>
    <w:pPr>
      <w:spacing w:line="300" w:lineRule="exact"/>
    </w:pPr>
    <w:rPr>
      <w:rFonts w:asciiTheme="majorHAnsi" w:hAnsiTheme="majorHAnsi"/>
    </w:rPr>
  </w:style>
  <w:style w:type="paragraph" w:customStyle="1" w:styleId="CRTTBBodyText">
    <w:name w:val="CRT_TB_BodyText"/>
    <w:basedOn w:val="CRTNormal"/>
    <w:rsid w:val="00207545"/>
    <w:pPr>
      <w:spacing w:before="120" w:after="120"/>
    </w:pPr>
  </w:style>
  <w:style w:type="paragraph" w:customStyle="1" w:styleId="CRTTBColHeading">
    <w:name w:val="CRT_TB_ColHeading"/>
    <w:basedOn w:val="CRTNormal"/>
    <w:rsid w:val="003E5FA6"/>
    <w:pPr>
      <w:spacing w:line="300" w:lineRule="exact"/>
    </w:pPr>
    <w:rPr>
      <w:rFonts w:asciiTheme="majorHAnsi" w:hAnsiTheme="majorHAnsi"/>
    </w:rPr>
  </w:style>
  <w:style w:type="paragraph" w:customStyle="1" w:styleId="CRTFPAddressOne">
    <w:name w:val="CRT_FP_AddressOne"/>
    <w:basedOn w:val="CRTNormal"/>
    <w:rsid w:val="000E7611"/>
    <w:pPr>
      <w:spacing w:line="280" w:lineRule="exact"/>
    </w:pPr>
    <w:rPr>
      <w:rFonts w:asciiTheme="majorHAnsi" w:hAnsiTheme="majorHAnsi"/>
    </w:rPr>
  </w:style>
  <w:style w:type="paragraph" w:customStyle="1" w:styleId="CRTFPAddressCharity">
    <w:name w:val="CRT_FP_AddressCharity"/>
    <w:basedOn w:val="CRTNormal"/>
    <w:autoRedefine/>
    <w:qFormat/>
    <w:rsid w:val="004D1AFD"/>
    <w:pPr>
      <w:spacing w:line="240" w:lineRule="exact"/>
    </w:pPr>
    <w:rPr>
      <w:sz w:val="16"/>
    </w:rPr>
  </w:style>
  <w:style w:type="character" w:customStyle="1" w:styleId="CRTNormalChar">
    <w:name w:val="CRT_Normal Char"/>
    <w:basedOn w:val="DefaultParagraphFont"/>
    <w:link w:val="CRTNormal"/>
    <w:rsid w:val="003E5FA6"/>
    <w:rPr>
      <w:rFonts w:ascii="Modern Era" w:hAnsi="Modern Era"/>
      <w:szCs w:val="24"/>
      <w:lang w:eastAsia="en-US"/>
    </w:rPr>
  </w:style>
  <w:style w:type="paragraph" w:styleId="BalloonText">
    <w:name w:val="Balloon Text"/>
    <w:basedOn w:val="Normal"/>
    <w:link w:val="BalloonTextChar"/>
    <w:rsid w:val="00C422E6"/>
    <w:rPr>
      <w:rFonts w:ascii="Tahoma" w:hAnsi="Tahoma" w:cs="Tahoma"/>
      <w:sz w:val="16"/>
      <w:szCs w:val="16"/>
    </w:rPr>
  </w:style>
  <w:style w:type="character" w:customStyle="1" w:styleId="BalloonTextChar">
    <w:name w:val="Balloon Text Char"/>
    <w:basedOn w:val="DefaultParagraphFont"/>
    <w:link w:val="BalloonText"/>
    <w:rsid w:val="00C422E6"/>
    <w:rPr>
      <w:rFonts w:ascii="Tahoma" w:hAnsi="Tahoma" w:cs="Tahoma"/>
      <w:sz w:val="16"/>
      <w:szCs w:val="16"/>
    </w:rPr>
  </w:style>
  <w:style w:type="table" w:styleId="TableGrid">
    <w:name w:val="Table Grid"/>
    <w:basedOn w:val="TableNormal"/>
    <w:rsid w:val="00DD77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TURL">
    <w:name w:val="CRT_URL"/>
    <w:basedOn w:val="CRTNormal"/>
    <w:autoRedefine/>
    <w:qFormat/>
    <w:rsid w:val="005D77F6"/>
    <w:pPr>
      <w:jc w:val="right"/>
    </w:pPr>
    <w:rPr>
      <w:rFonts w:asciiTheme="majorHAnsi" w:hAnsiTheme="majorHAnsi"/>
      <w:color w:val="165BAA" w:themeColor="text2"/>
      <w:sz w:val="32"/>
    </w:rPr>
  </w:style>
  <w:style w:type="paragraph" w:customStyle="1" w:styleId="CRTFooterAddress">
    <w:name w:val="CRT_Footer Address"/>
    <w:basedOn w:val="CRTNormal"/>
    <w:autoRedefine/>
    <w:qFormat/>
    <w:rsid w:val="005D77F6"/>
    <w:rPr>
      <w:sz w:val="16"/>
    </w:rPr>
  </w:style>
  <w:style w:type="paragraph" w:customStyle="1" w:styleId="CRTFooterHeading">
    <w:name w:val="CRT_Footer Heading"/>
    <w:basedOn w:val="CRTNormal"/>
    <w:autoRedefine/>
    <w:qFormat/>
    <w:rsid w:val="00E51EEC"/>
    <w:rPr>
      <w:rFonts w:asciiTheme="majorHAnsi" w:hAnsiTheme="majorHAnsi"/>
      <w:sz w:val="16"/>
    </w:rPr>
  </w:style>
  <w:style w:type="paragraph" w:customStyle="1" w:styleId="CRTFooterSmallText">
    <w:name w:val="CRT_Footer Small Text"/>
    <w:basedOn w:val="CRTNormal"/>
    <w:autoRedefine/>
    <w:qFormat/>
    <w:rsid w:val="00E51EEC"/>
    <w:pPr>
      <w:spacing w:before="120"/>
    </w:pPr>
    <w:rPr>
      <w:sz w:val="12"/>
    </w:rPr>
  </w:style>
  <w:style w:type="paragraph" w:customStyle="1" w:styleId="CRTTBRowHeading">
    <w:name w:val="CRT_TB_RowHeading"/>
    <w:basedOn w:val="CRTNormal"/>
    <w:rsid w:val="003E5FA6"/>
    <w:pPr>
      <w:spacing w:before="60" w:after="200"/>
    </w:pPr>
    <w:rPr>
      <w:rFonts w:asciiTheme="majorHAnsi" w:hAnsiTheme="majorHAnsi"/>
      <w:color w:val="165BAA" w:themeColor="text2"/>
      <w:sz w:val="26"/>
    </w:rPr>
  </w:style>
  <w:style w:type="paragraph" w:customStyle="1" w:styleId="CRTTitle">
    <w:name w:val="CRT_Title"/>
    <w:basedOn w:val="CRTNormal"/>
    <w:rsid w:val="003E5FA6"/>
    <w:rPr>
      <w:rFonts w:asciiTheme="majorHAnsi" w:hAnsiTheme="majorHAnsi"/>
      <w:color w:val="165BAA" w:themeColor="text2"/>
      <w:spacing w:val="24"/>
      <w:kern w:val="36"/>
      <w:sz w:val="48"/>
      <w:szCs w:val="40"/>
    </w:rPr>
  </w:style>
  <w:style w:type="paragraph" w:customStyle="1" w:styleId="CRTSubtitle">
    <w:name w:val="CRT_Subtitle"/>
    <w:basedOn w:val="CRTTitle"/>
    <w:autoRedefine/>
    <w:qFormat/>
    <w:rsid w:val="00BA137F"/>
    <w:rPr>
      <w:rFonts w:ascii="Modern Era" w:hAnsi="Modern Era"/>
    </w:rPr>
  </w:style>
  <w:style w:type="paragraph" w:customStyle="1" w:styleId="CRTNumberedHeading1">
    <w:name w:val="CRT_Numbered Heading 1"/>
    <w:basedOn w:val="CRTHeadingOne"/>
    <w:autoRedefine/>
    <w:qFormat/>
    <w:rsid w:val="00673100"/>
    <w:pPr>
      <w:numPr>
        <w:numId w:val="5"/>
      </w:numPr>
    </w:pPr>
  </w:style>
  <w:style w:type="paragraph" w:customStyle="1" w:styleId="CRTNumberedHeading2">
    <w:name w:val="CRT_Numbered Heading 2"/>
    <w:basedOn w:val="CRTHeadingTwo"/>
    <w:autoRedefine/>
    <w:qFormat/>
    <w:rsid w:val="00624EBF"/>
    <w:pPr>
      <w:numPr>
        <w:numId w:val="6"/>
      </w:numPr>
    </w:pPr>
  </w:style>
  <w:style w:type="paragraph" w:customStyle="1" w:styleId="CRTNumberedBodyText">
    <w:name w:val="CRT_Numbered BodyText"/>
    <w:basedOn w:val="CRTBodyText"/>
    <w:autoRedefine/>
    <w:qFormat/>
    <w:rsid w:val="00EB6BBE"/>
    <w:pPr>
      <w:numPr>
        <w:ilvl w:val="2"/>
        <w:numId w:val="7"/>
      </w:numPr>
    </w:pPr>
  </w:style>
  <w:style w:type="paragraph" w:customStyle="1" w:styleId="CRTLetteredList">
    <w:name w:val="CRT_Lettered List"/>
    <w:basedOn w:val="CRTBullet"/>
    <w:autoRedefine/>
    <w:qFormat/>
    <w:rsid w:val="008C271E"/>
    <w:pPr>
      <w:numPr>
        <w:numId w:val="8"/>
      </w:numPr>
    </w:pPr>
  </w:style>
  <w:style w:type="paragraph" w:customStyle="1" w:styleId="CRTAction">
    <w:name w:val="CRT_Action"/>
    <w:basedOn w:val="Normal"/>
    <w:rsid w:val="00D42334"/>
    <w:pPr>
      <w:spacing w:line="300" w:lineRule="exact"/>
      <w:jc w:val="right"/>
    </w:pPr>
    <w:rPr>
      <w:szCs w:val="24"/>
      <w:lang w:eastAsia="en-US"/>
    </w:rPr>
  </w:style>
  <w:style w:type="paragraph" w:customStyle="1" w:styleId="CRTTBRowHeadingRight">
    <w:name w:val="CRT_TB_RowHeadingRight"/>
    <w:basedOn w:val="CRTTBRowHeading"/>
    <w:rsid w:val="00D42334"/>
    <w:pPr>
      <w:jc w:val="right"/>
    </w:pPr>
  </w:style>
  <w:style w:type="paragraph" w:customStyle="1" w:styleId="CRTAuthorDetails">
    <w:name w:val="CRT_Author Details"/>
    <w:basedOn w:val="CRTNormal"/>
    <w:autoRedefine/>
    <w:qFormat/>
    <w:rsid w:val="00F807EC"/>
  </w:style>
  <w:style w:type="paragraph" w:customStyle="1" w:styleId="CRTContents">
    <w:name w:val="CRT_Contents"/>
    <w:basedOn w:val="CRTNormal"/>
    <w:rsid w:val="00186773"/>
    <w:pPr>
      <w:spacing w:after="300" w:line="300" w:lineRule="exact"/>
    </w:pPr>
    <w:rPr>
      <w:rFonts w:ascii="Modern Era Bold" w:hAnsi="Modern Era Bold"/>
      <w:color w:val="165BAA" w:themeColor="text2"/>
      <w:sz w:val="24"/>
    </w:rPr>
  </w:style>
  <w:style w:type="paragraph" w:styleId="TOC3">
    <w:name w:val="toc 3"/>
    <w:basedOn w:val="Normal"/>
    <w:next w:val="Normal"/>
    <w:rsid w:val="00BD5CCD"/>
    <w:pPr>
      <w:tabs>
        <w:tab w:val="right" w:pos="9792"/>
      </w:tabs>
      <w:spacing w:line="300" w:lineRule="exact"/>
    </w:pPr>
    <w:rPr>
      <w:szCs w:val="24"/>
      <w:lang w:eastAsia="en-US"/>
    </w:rPr>
  </w:style>
  <w:style w:type="paragraph" w:styleId="TOC1">
    <w:name w:val="toc 1"/>
    <w:basedOn w:val="Normal"/>
    <w:next w:val="Normal"/>
    <w:uiPriority w:val="39"/>
    <w:rsid w:val="00BD5CCD"/>
    <w:pPr>
      <w:tabs>
        <w:tab w:val="right" w:pos="9792"/>
      </w:tabs>
      <w:spacing w:line="300" w:lineRule="exact"/>
    </w:pPr>
    <w:rPr>
      <w:rFonts w:ascii="Modern Era Bold" w:hAnsi="Modern Era Bold"/>
      <w:szCs w:val="24"/>
      <w:lang w:eastAsia="en-US"/>
    </w:rPr>
  </w:style>
  <w:style w:type="paragraph" w:styleId="TOC2">
    <w:name w:val="toc 2"/>
    <w:basedOn w:val="Normal"/>
    <w:next w:val="Normal"/>
    <w:rsid w:val="00BD5CCD"/>
    <w:pPr>
      <w:tabs>
        <w:tab w:val="right" w:pos="9792"/>
      </w:tabs>
      <w:spacing w:line="300" w:lineRule="exact"/>
    </w:pPr>
    <w:rPr>
      <w:szCs w:val="24"/>
      <w:lang w:eastAsia="en-US"/>
    </w:rPr>
  </w:style>
  <w:style w:type="paragraph" w:customStyle="1" w:styleId="CRTCaption">
    <w:name w:val="CRT_Caption"/>
    <w:basedOn w:val="CRTNormal"/>
    <w:rsid w:val="008332CE"/>
    <w:pPr>
      <w:spacing w:line="220" w:lineRule="exact"/>
    </w:pPr>
    <w:rPr>
      <w:sz w:val="18"/>
    </w:rPr>
  </w:style>
  <w:style w:type="paragraph" w:customStyle="1" w:styleId="BWWFPAddressTwo">
    <w:name w:val="BWW_FP_AddressTwo"/>
    <w:basedOn w:val="Normal"/>
    <w:rsid w:val="00D958FC"/>
    <w:pPr>
      <w:spacing w:line="280" w:lineRule="exact"/>
    </w:pPr>
    <w:rPr>
      <w:szCs w:val="24"/>
      <w:lang w:eastAsia="en-US"/>
    </w:rPr>
  </w:style>
  <w:style w:type="paragraph" w:customStyle="1" w:styleId="BWWFPAddressCharity">
    <w:name w:val="BWW_FP_AddressCharity"/>
    <w:basedOn w:val="Normal"/>
    <w:autoRedefine/>
    <w:qFormat/>
    <w:rsid w:val="00D958FC"/>
    <w:pPr>
      <w:spacing w:line="240" w:lineRule="exact"/>
    </w:pPr>
    <w:rPr>
      <w:sz w:val="16"/>
      <w:szCs w:val="24"/>
      <w:lang w:eastAsia="en-US"/>
    </w:rPr>
  </w:style>
  <w:style w:type="paragraph" w:customStyle="1" w:styleId="BWWFPAddressOne">
    <w:name w:val="BWW_FP_AddressOne"/>
    <w:basedOn w:val="Normal"/>
    <w:rsid w:val="00D958FC"/>
    <w:pPr>
      <w:spacing w:line="280" w:lineRule="exact"/>
    </w:pPr>
    <w:rPr>
      <w:b/>
      <w:szCs w:val="24"/>
      <w:lang w:eastAsia="en-US"/>
    </w:rPr>
  </w:style>
  <w:style w:type="paragraph" w:customStyle="1" w:styleId="LSRNormal">
    <w:name w:val="LSR_Normal"/>
    <w:rsid w:val="00075DE2"/>
    <w:rPr>
      <w:rFonts w:ascii="Frutiger LT 55 Roman" w:eastAsiaTheme="minorHAnsi" w:hAnsi="Frutiger LT 55 Roman" w:cstheme="minorBidi"/>
      <w:color w:val="3C3C3C"/>
      <w:szCs w:val="22"/>
      <w:lang w:eastAsia="en-US"/>
    </w:rPr>
  </w:style>
  <w:style w:type="character" w:styleId="PlaceholderText">
    <w:name w:val="Placeholder Text"/>
    <w:basedOn w:val="DefaultParagraphFont"/>
    <w:uiPriority w:val="99"/>
    <w:semiHidden/>
    <w:rsid w:val="00554DA5"/>
    <w:rPr>
      <w:color w:val="808080"/>
    </w:rPr>
  </w:style>
  <w:style w:type="paragraph" w:styleId="FootnoteText">
    <w:name w:val="footnote text"/>
    <w:basedOn w:val="Normal"/>
    <w:link w:val="FootnoteTextChar"/>
    <w:uiPriority w:val="99"/>
    <w:unhideWhenUsed/>
    <w:rsid w:val="00554DA5"/>
    <w:pPr>
      <w:spacing w:after="180" w:line="190" w:lineRule="atLeast"/>
    </w:pPr>
    <w:rPr>
      <w:rFonts w:ascii="Helvetica Neue LT Std 65 Medium" w:eastAsiaTheme="minorEastAsia" w:hAnsi="Helvetica Neue LT Std 65 Medium"/>
      <w:color w:val="40403E"/>
      <w:position w:val="14"/>
      <w:sz w:val="22"/>
      <w:lang w:eastAsia="zh-TW"/>
    </w:rPr>
  </w:style>
  <w:style w:type="character" w:customStyle="1" w:styleId="FootnoteTextChar">
    <w:name w:val="Footnote Text Char"/>
    <w:basedOn w:val="DefaultParagraphFont"/>
    <w:link w:val="FootnoteText"/>
    <w:uiPriority w:val="99"/>
    <w:rsid w:val="00554DA5"/>
    <w:rPr>
      <w:rFonts w:ascii="Helvetica Neue LT Std 65 Medium" w:eastAsiaTheme="minorEastAsia" w:hAnsi="Helvetica Neue LT Std 65 Medium"/>
      <w:color w:val="40403E"/>
      <w:position w:val="14"/>
      <w:sz w:val="22"/>
      <w:lang w:eastAsia="zh-TW"/>
    </w:rPr>
  </w:style>
  <w:style w:type="character" w:styleId="FootnoteReference">
    <w:name w:val="footnote reference"/>
    <w:aliases w:val="IER footnote"/>
    <w:basedOn w:val="DefaultParagraphFont"/>
    <w:uiPriority w:val="99"/>
    <w:unhideWhenUsed/>
    <w:rsid w:val="00554DA5"/>
    <w:rPr>
      <w:color w:val="auto"/>
      <w:position w:val="12"/>
      <w:sz w:val="16"/>
      <w:vertAlign w:val="baseline"/>
    </w:rPr>
  </w:style>
  <w:style w:type="paragraph" w:styleId="Caption">
    <w:name w:val="caption"/>
    <w:basedOn w:val="Normal"/>
    <w:next w:val="Normal"/>
    <w:uiPriority w:val="35"/>
    <w:unhideWhenUsed/>
    <w:qFormat/>
    <w:rsid w:val="00B22CEB"/>
    <w:pPr>
      <w:spacing w:after="80" w:line="276" w:lineRule="auto"/>
    </w:pPr>
    <w:rPr>
      <w:rFonts w:ascii="HelveticaNeueLT Std" w:eastAsiaTheme="minorEastAsia" w:hAnsi="HelveticaNeueLT Std"/>
      <w:color w:val="A5A7A6"/>
      <w:szCs w:val="16"/>
      <w:lang w:eastAsia="zh-TW"/>
    </w:rPr>
  </w:style>
  <w:style w:type="paragraph" w:styleId="ListParagraph">
    <w:name w:val="List Paragraph"/>
    <w:basedOn w:val="Normal"/>
    <w:uiPriority w:val="34"/>
    <w:qFormat/>
    <w:rsid w:val="00B22CEB"/>
    <w:pPr>
      <w:ind w:left="720"/>
      <w:contextualSpacing/>
    </w:pPr>
  </w:style>
  <w:style w:type="paragraph" w:styleId="ListNumber2">
    <w:name w:val="List Number 2"/>
    <w:basedOn w:val="ListNumber"/>
    <w:uiPriority w:val="99"/>
    <w:rsid w:val="00F34F1A"/>
    <w:pPr>
      <w:numPr>
        <w:numId w:val="12"/>
      </w:numPr>
      <w:tabs>
        <w:tab w:val="left" w:pos="714"/>
      </w:tabs>
      <w:spacing w:after="180" w:line="240" w:lineRule="atLeast"/>
      <w:ind w:left="0" w:firstLine="0"/>
      <w:contextualSpacing w:val="0"/>
    </w:pPr>
    <w:rPr>
      <w:rFonts w:ascii="Helvetica Neue LT Std 65 Medium" w:hAnsi="Helvetica Neue LT Std 65 Medium"/>
      <w:color w:val="797A7E" w:themeColor="text1"/>
      <w:sz w:val="22"/>
      <w:szCs w:val="24"/>
    </w:rPr>
  </w:style>
  <w:style w:type="paragraph" w:styleId="ListBullet">
    <w:name w:val="List Bullet"/>
    <w:basedOn w:val="Normal"/>
    <w:uiPriority w:val="99"/>
    <w:qFormat/>
    <w:rsid w:val="00F34F1A"/>
    <w:pPr>
      <w:tabs>
        <w:tab w:val="left" w:pos="357"/>
      </w:tabs>
      <w:spacing w:after="180"/>
    </w:pPr>
    <w:rPr>
      <w:rFonts w:ascii="HelveticaNeueLT Std Lt" w:eastAsiaTheme="minorEastAsia" w:hAnsi="HelveticaNeueLT Std Lt"/>
      <w:color w:val="9A9B9E" w:themeColor="text1" w:themeTint="BF"/>
      <w:sz w:val="22"/>
      <w:szCs w:val="22"/>
      <w:lang w:eastAsia="zh-TW"/>
    </w:rPr>
  </w:style>
  <w:style w:type="paragraph" w:styleId="NormalWeb">
    <w:name w:val="Normal (Web)"/>
    <w:basedOn w:val="Normal"/>
    <w:uiPriority w:val="99"/>
    <w:unhideWhenUsed/>
    <w:rsid w:val="00F34F1A"/>
    <w:pPr>
      <w:spacing w:before="100" w:beforeAutospacing="1" w:after="100" w:afterAutospacing="1"/>
    </w:pPr>
    <w:rPr>
      <w:rFonts w:ascii="Times New Roman" w:eastAsiaTheme="minorEastAsia" w:hAnsi="Times New Roman"/>
      <w:color w:val="40403E"/>
      <w:sz w:val="24"/>
      <w:szCs w:val="24"/>
    </w:rPr>
  </w:style>
  <w:style w:type="paragraph" w:styleId="ListNumber">
    <w:name w:val="List Number"/>
    <w:basedOn w:val="Normal"/>
    <w:rsid w:val="00F34F1A"/>
    <w:pPr>
      <w:contextualSpacing/>
    </w:pPr>
  </w:style>
  <w:style w:type="paragraph" w:styleId="EndnoteText">
    <w:name w:val="endnote text"/>
    <w:basedOn w:val="Normal"/>
    <w:link w:val="EndnoteTextChar"/>
    <w:unhideWhenUsed/>
    <w:rsid w:val="00F34F1A"/>
  </w:style>
  <w:style w:type="character" w:customStyle="1" w:styleId="EndnoteTextChar">
    <w:name w:val="Endnote Text Char"/>
    <w:basedOn w:val="DefaultParagraphFont"/>
    <w:link w:val="EndnoteText"/>
    <w:rsid w:val="00F34F1A"/>
    <w:rPr>
      <w:rFonts w:asciiTheme="minorHAnsi" w:hAnsiTheme="minorHAnsi"/>
    </w:rPr>
  </w:style>
  <w:style w:type="character" w:styleId="EndnoteReference">
    <w:name w:val="endnote reference"/>
    <w:basedOn w:val="DefaultParagraphFont"/>
    <w:uiPriority w:val="99"/>
    <w:semiHidden/>
    <w:unhideWhenUsed/>
    <w:rsid w:val="00F34F1A"/>
    <w:rPr>
      <w:vertAlign w:val="superscript"/>
    </w:rPr>
  </w:style>
  <w:style w:type="character" w:styleId="CommentReference">
    <w:name w:val="annotation reference"/>
    <w:basedOn w:val="DefaultParagraphFont"/>
    <w:uiPriority w:val="99"/>
    <w:semiHidden/>
    <w:unhideWhenUsed/>
    <w:rsid w:val="00F3081F"/>
    <w:rPr>
      <w:sz w:val="16"/>
      <w:szCs w:val="16"/>
    </w:rPr>
  </w:style>
  <w:style w:type="paragraph" w:styleId="CommentText">
    <w:name w:val="annotation text"/>
    <w:basedOn w:val="Normal"/>
    <w:link w:val="CommentTextChar"/>
    <w:unhideWhenUsed/>
    <w:rsid w:val="00F3081F"/>
  </w:style>
  <w:style w:type="character" w:customStyle="1" w:styleId="CommentTextChar">
    <w:name w:val="Comment Text Char"/>
    <w:basedOn w:val="DefaultParagraphFont"/>
    <w:link w:val="CommentText"/>
    <w:rsid w:val="00F3081F"/>
    <w:rPr>
      <w:rFonts w:asciiTheme="minorHAnsi" w:hAnsiTheme="minorHAnsi"/>
    </w:rPr>
  </w:style>
  <w:style w:type="paragraph" w:styleId="CommentSubject">
    <w:name w:val="annotation subject"/>
    <w:basedOn w:val="CommentText"/>
    <w:next w:val="CommentText"/>
    <w:link w:val="CommentSubjectChar"/>
    <w:semiHidden/>
    <w:unhideWhenUsed/>
    <w:rsid w:val="00F3081F"/>
    <w:rPr>
      <w:b/>
      <w:bCs/>
    </w:rPr>
  </w:style>
  <w:style w:type="character" w:customStyle="1" w:styleId="CommentSubjectChar">
    <w:name w:val="Comment Subject Char"/>
    <w:basedOn w:val="CommentTextChar"/>
    <w:link w:val="CommentSubject"/>
    <w:semiHidden/>
    <w:rsid w:val="00F3081F"/>
    <w:rPr>
      <w:rFonts w:asciiTheme="minorHAnsi" w:hAnsiTheme="minorHAnsi"/>
      <w:b/>
      <w:bCs/>
    </w:rPr>
  </w:style>
  <w:style w:type="paragraph" w:styleId="Revision">
    <w:name w:val="Revision"/>
    <w:hidden/>
    <w:uiPriority w:val="99"/>
    <w:semiHidden/>
    <w:rsid w:val="00BF042A"/>
    <w:rPr>
      <w:rFonts w:asciiTheme="minorHAnsi" w:hAnsiTheme="minorHAnsi"/>
    </w:rPr>
  </w:style>
  <w:style w:type="character" w:styleId="Strong">
    <w:name w:val="Strong"/>
    <w:basedOn w:val="DefaultParagraphFont"/>
    <w:uiPriority w:val="22"/>
    <w:qFormat/>
    <w:rsid w:val="004772A6"/>
    <w:rPr>
      <w:b/>
      <w:bCs/>
    </w:rPr>
  </w:style>
  <w:style w:type="character" w:styleId="Mention">
    <w:name w:val="Mention"/>
    <w:basedOn w:val="DefaultParagraphFont"/>
    <w:uiPriority w:val="99"/>
    <w:unhideWhenUsed/>
    <w:rsid w:val="00AF68D0"/>
    <w:rPr>
      <w:color w:val="2B579A"/>
      <w:shd w:val="clear" w:color="auto" w:fill="E1DFDD"/>
    </w:rPr>
  </w:style>
  <w:style w:type="character" w:customStyle="1" w:styleId="Heading1Char">
    <w:name w:val="Heading 1 Char"/>
    <w:basedOn w:val="DefaultParagraphFont"/>
    <w:link w:val="Heading1"/>
    <w:uiPriority w:val="9"/>
    <w:rsid w:val="00645230"/>
    <w:rPr>
      <w:rFonts w:asciiTheme="majorHAnsi" w:eastAsiaTheme="majorEastAsia" w:hAnsiTheme="majorHAnsi" w:cstheme="majorBidi"/>
      <w:color w:val="10437F" w:themeColor="accent1" w:themeShade="BF"/>
      <w:sz w:val="32"/>
      <w:szCs w:val="32"/>
    </w:rPr>
  </w:style>
  <w:style w:type="character" w:styleId="Hyperlink">
    <w:name w:val="Hyperlink"/>
    <w:basedOn w:val="DefaultParagraphFont"/>
    <w:unhideWhenUsed/>
    <w:rsid w:val="00645230"/>
    <w:rPr>
      <w:color w:val="0000FF" w:themeColor="hyperlink"/>
      <w:u w:val="single"/>
    </w:rPr>
  </w:style>
  <w:style w:type="character" w:styleId="UnresolvedMention">
    <w:name w:val="Unresolved Mention"/>
    <w:basedOn w:val="DefaultParagraphFont"/>
    <w:uiPriority w:val="99"/>
    <w:semiHidden/>
    <w:unhideWhenUsed/>
    <w:rsid w:val="00645230"/>
    <w:rPr>
      <w:color w:val="605E5C"/>
      <w:shd w:val="clear" w:color="auto" w:fill="E1DFDD"/>
    </w:rPr>
  </w:style>
  <w:style w:type="paragraph" w:styleId="BodyText">
    <w:name w:val="Body Text"/>
    <w:basedOn w:val="Normal"/>
    <w:link w:val="BodyTextChar"/>
    <w:uiPriority w:val="99"/>
    <w:qFormat/>
    <w:rsid w:val="00C3126A"/>
    <w:pPr>
      <w:spacing w:after="180" w:line="240" w:lineRule="atLeast"/>
      <w:jc w:val="both"/>
    </w:pPr>
    <w:rPr>
      <w:rFonts w:eastAsiaTheme="minorHAnsi" w:cstheme="minorBidi"/>
      <w:kern w:val="18"/>
      <w:szCs w:val="18"/>
      <w:lang w:eastAsia="en-US"/>
    </w:rPr>
  </w:style>
  <w:style w:type="character" w:customStyle="1" w:styleId="BodyTextChar">
    <w:name w:val="Body Text Char"/>
    <w:basedOn w:val="DefaultParagraphFont"/>
    <w:link w:val="BodyText"/>
    <w:uiPriority w:val="99"/>
    <w:rsid w:val="00C3126A"/>
    <w:rPr>
      <w:rFonts w:asciiTheme="minorHAnsi" w:eastAsiaTheme="minorHAnsi" w:hAnsiTheme="minorHAnsi" w:cstheme="minorBidi"/>
      <w:kern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6196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comments" Target="comments.xml"/><Relationship Id="rId26" Type="http://schemas.openxmlformats.org/officeDocument/2006/relationships/image" Target="media/image3.jpeg"/><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4.xml"/><Relationship Id="rId25" Type="http://schemas.openxmlformats.org/officeDocument/2006/relationships/chart" Target="charts/chart8.xml"/><Relationship Id="rId2" Type="http://schemas.openxmlformats.org/officeDocument/2006/relationships/customXml" Target="../customXml/item2.xml"/><Relationship Id="rId16" Type="http://schemas.openxmlformats.org/officeDocument/2006/relationships/chart" Target="charts/chart3.xml"/><Relationship Id="rId20" Type="http://schemas.microsoft.com/office/2016/09/relationships/commentsIds" Target="commentsIds.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7.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chart" Target="charts/chart6.xml"/><Relationship Id="rId28" Type="http://schemas.openxmlformats.org/officeDocument/2006/relationships/header" Target="header1.xml"/><Relationship Id="rId10" Type="http://schemas.openxmlformats.org/officeDocument/2006/relationships/endnotes" Target="endnotes.xml"/><Relationship Id="rId19" Type="http://schemas.microsoft.com/office/2011/relationships/commentsExtended" Target="commentsExtended.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chart" Target="charts/chart5.xml"/><Relationship Id="rId27" Type="http://schemas.openxmlformats.org/officeDocument/2006/relationships/footer" Target="footer1.xml"/><Relationship Id="rId30" Type="http://schemas.microsoft.com/office/2011/relationships/people" Target="people.xm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dorpalen\appdata\roaming\microsoft\templates\Canal%20&amp;%20River%20Trust\Report.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canalrivertrust.sharepoint.com/sites/NationalInsightEvidenceTeam/Shared%20Documents/General/I&amp;E/03%20Insight/Capital%20Accounting/a_Economic%20Capital/CEBR%20International%20tourism%202026/Publishing/Results%20and%20chart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canalrivertrust.sharepoint.com/sites/NationalInsightEvidenceTeam/Shared%20Documents/General/I&amp;E/03%20Insight/Capital%20Accounting/a_Economic%20Capital/CEBR%20International%20tourism%202026/Publishing/Results%20and%20chart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canalrivertrust.sharepoint.com/sites/NationalInsightEvidenceTeam/Shared%20Documents/General/I&amp;E/03%20Insight/Capital%20Accounting/a_Economic%20Capital/CEBR%20International%20tourism%202026/Publishing/Results%20and%20chart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canalrivertrust.sharepoint.com/sites/NationalInsightEvidenceTeam/Shared%20Documents/General/I&amp;E/03%20Insight/Capital%20Accounting/a_Economic%20Capital/CEBR%20International%20tourism%202026/Publishing/Results%20and%20charts.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https://canalrivertrust.sharepoint.com/sites/NationalInsightEvidenceTeam/Shared%20Documents/General/I&amp;E/03%20Insight/Capital%20Accounting/a_Economic%20Capital/CEBR%20International%20tourism%202026/Publishing/Results%20and%20char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canalrivertrust.sharepoint.com/sites/NationalInsightEvidenceTeam/Shared%20Documents/General/I&amp;E/03%20Insight/Capital%20Accounting/a_Economic%20Capital/CEBR%20International%20tourism%202026/Publishing/Results%20and%20charts.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canalrivertrust.sharepoint.com/sites/NationalInsightEvidenceTeam/Shared%20Documents/General/I&amp;E/03%20Insight/Capital%20Accounting/a_Economic%20Capital/CEBR%20International%20tourism%202026/Publishing/Results%20and%20charts.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canalrivertrust.sharepoint.com/sites/NationalInsightEvidenceTeam/Shared%20Documents/General/I&amp;E/03%20Insight/Capital%20Accounting/a_Economic%20Capital/CEBR%20International%20tourism%202026/Publishing/results%20and%20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0DC-4B3C-B3AD-12EA8846BF1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0DC-4B3C-B3AD-12EA8846BF17}"/>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F0DC-4B3C-B3AD-12EA8846BF17}"/>
              </c:ext>
            </c:extLst>
          </c:dPt>
          <c:dLbls>
            <c:dLbl>
              <c:idx val="0"/>
              <c:layout>
                <c:manualLayout>
                  <c:x val="8.3333333333333329E-2"/>
                  <c:y val="0.24537037037037038"/>
                </c:manualLayout>
              </c:layout>
              <c:tx>
                <c:rich>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Modern Era" panose="02000000000000000000" pitchFamily="50" charset="0"/>
                        <a:ea typeface="+mn-ea"/>
                        <a:cs typeface="+mn-cs"/>
                      </a:defRPr>
                    </a:pPr>
                    <a:r>
                      <a:rPr lang="en-US"/>
                      <a:t>£</a:t>
                    </a:r>
                    <a:fld id="{59D4D5AE-D100-4898-951A-08099B15FADF}" type="VALUE">
                      <a:rPr lang="en-US"/>
                      <a:pPr>
                        <a:defRPr sz="1050">
                          <a:solidFill>
                            <a:sysClr val="windowText" lastClr="000000"/>
                          </a:solidFill>
                          <a:latin typeface="Modern Era" panose="02000000000000000000" pitchFamily="50" charset="0"/>
                        </a:defRPr>
                      </a:pPr>
                      <a:t>[VALUE]</a:t>
                    </a:fld>
                    <a:r>
                      <a:rPr lang="en-US"/>
                      <a:t>m</a:t>
                    </a:r>
                    <a:r>
                      <a:rPr lang="en-US" baseline="0"/>
                      <a:t> </a:t>
                    </a:r>
                    <a:br>
                      <a:rPr lang="en-US" baseline="0"/>
                    </a:br>
                    <a:r>
                      <a:rPr lang="en-US" baseline="0"/>
                      <a:t>(</a:t>
                    </a:r>
                    <a:fld id="{DA3DFDC5-4277-4C13-901D-6913F8EF445D}" type="PERCENTAGE">
                      <a:rPr lang="en-US" baseline="0"/>
                      <a:pPr>
                        <a:defRPr sz="1050">
                          <a:solidFill>
                            <a:sysClr val="windowText" lastClr="000000"/>
                          </a:solidFill>
                          <a:latin typeface="Modern Era" panose="02000000000000000000" pitchFamily="50" charset="0"/>
                        </a:defRPr>
                      </a:pPr>
                      <a:t>[PERCENTAGE]</a:t>
                    </a:fld>
                    <a:r>
                      <a:rPr lang="en-US" baseline="0"/>
                      <a:t>)</a:t>
                    </a:r>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Modern Era" panose="02000000000000000000" pitchFamily="50" charset="0"/>
                      <a:ea typeface="+mn-ea"/>
                      <a:cs typeface="+mn-cs"/>
                    </a:defRPr>
                  </a:pPr>
                  <a:endParaRPr lang="en-US"/>
                </a:p>
              </c:txPr>
              <c:showLegendKey val="0"/>
              <c:showVal val="1"/>
              <c:showCatName val="0"/>
              <c:showSerName val="0"/>
              <c:showPercent val="1"/>
              <c:showBubbleSize val="0"/>
              <c:extLst>
                <c:ext xmlns:c15="http://schemas.microsoft.com/office/drawing/2012/chart" uri="{CE6537A1-D6FC-4f65-9D91-7224C49458BB}">
                  <c15:spPr xmlns:c15="http://schemas.microsoft.com/office/drawing/2012/chart">
                    <a:prstGeom prst="accentCallout1">
                      <a:avLst>
                        <a:gd name="adj1" fmla="val 18750"/>
                        <a:gd name="adj2" fmla="val -8333"/>
                        <a:gd name="adj3" fmla="val -29503"/>
                        <a:gd name="adj4" fmla="val -40393"/>
                      </a:avLst>
                    </a:prstGeom>
                    <a:noFill/>
                    <a:ln>
                      <a:noFill/>
                    </a:ln>
                  </c15:spPr>
                  <c15:dlblFieldTable/>
                  <c15:showDataLabelsRange val="0"/>
                </c:ext>
                <c:ext xmlns:c16="http://schemas.microsoft.com/office/drawing/2014/chart" uri="{C3380CC4-5D6E-409C-BE32-E72D297353CC}">
                  <c16:uniqueId val="{00000001-F0DC-4B3C-B3AD-12EA8846BF17}"/>
                </c:ext>
              </c:extLst>
            </c:dLbl>
            <c:dLbl>
              <c:idx val="1"/>
              <c:layout>
                <c:manualLayout>
                  <c:x val="-1.9444444444444452E-2"/>
                  <c:y val="-0.31481481481481483"/>
                </c:manualLayout>
              </c:layout>
              <c:tx>
                <c:rich>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Modern Era" panose="02000000000000000000" pitchFamily="50" charset="0"/>
                        <a:ea typeface="+mn-ea"/>
                        <a:cs typeface="+mn-cs"/>
                      </a:defRPr>
                    </a:pPr>
                    <a:r>
                      <a:rPr lang="en-US"/>
                      <a:t>£</a:t>
                    </a:r>
                    <a:fld id="{B44457E9-277F-4C2E-B324-ED662B3CCB30}" type="VALUE">
                      <a:rPr lang="en-US"/>
                      <a:pPr>
                        <a:defRPr sz="1050">
                          <a:solidFill>
                            <a:sysClr val="windowText" lastClr="000000"/>
                          </a:solidFill>
                          <a:latin typeface="Modern Era" panose="02000000000000000000" pitchFamily="50" charset="0"/>
                        </a:defRPr>
                      </a:pPr>
                      <a:t>[VALUE]</a:t>
                    </a:fld>
                    <a:r>
                      <a:rPr lang="en-US"/>
                      <a:t>m</a:t>
                    </a:r>
                    <a:r>
                      <a:rPr lang="en-US" baseline="0"/>
                      <a:t> </a:t>
                    </a:r>
                    <a:br>
                      <a:rPr lang="en-US" baseline="0"/>
                    </a:br>
                    <a:r>
                      <a:rPr lang="en-US" baseline="0"/>
                      <a:t>(</a:t>
                    </a:r>
                    <a:fld id="{98DC0485-A6C1-4CF8-9634-277D939CBAE5}" type="PERCENTAGE">
                      <a:rPr lang="en-US" baseline="0"/>
                      <a:pPr>
                        <a:defRPr sz="1050">
                          <a:solidFill>
                            <a:sysClr val="windowText" lastClr="000000"/>
                          </a:solidFill>
                          <a:latin typeface="Modern Era" panose="02000000000000000000" pitchFamily="50" charset="0"/>
                        </a:defRPr>
                      </a:pPr>
                      <a:t>[PERCENTAGE]</a:t>
                    </a:fld>
                    <a:r>
                      <a:rPr lang="en-US" baseline="0"/>
                      <a:t>)</a:t>
                    </a:r>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Modern Era" panose="02000000000000000000" pitchFamily="50" charset="0"/>
                      <a:ea typeface="+mn-ea"/>
                      <a:cs typeface="+mn-cs"/>
                    </a:defRPr>
                  </a:pPr>
                  <a:endParaRPr lang="en-US"/>
                </a:p>
              </c:txPr>
              <c:showLegendKey val="0"/>
              <c:showVal val="1"/>
              <c:showCatName val="0"/>
              <c:showSerName val="0"/>
              <c:showPercent val="1"/>
              <c:showBubbleSize val="0"/>
              <c:extLst>
                <c:ext xmlns:c15="http://schemas.microsoft.com/office/drawing/2012/chart" uri="{CE6537A1-D6FC-4f65-9D91-7224C49458BB}">
                  <c15:spPr xmlns:c15="http://schemas.microsoft.com/office/drawing/2012/chart">
                    <a:prstGeom prst="accentCallout1">
                      <a:avLst>
                        <a:gd name="adj1" fmla="val 103438"/>
                        <a:gd name="adj2" fmla="val -7332"/>
                        <a:gd name="adj3" fmla="val 285052"/>
                        <a:gd name="adj4" fmla="val 64019"/>
                      </a:avLst>
                    </a:prstGeom>
                    <a:noFill/>
                    <a:ln>
                      <a:noFill/>
                    </a:ln>
                  </c15:spPr>
                  <c15:dlblFieldTable/>
                  <c15:showDataLabelsRange val="0"/>
                </c:ext>
                <c:ext xmlns:c16="http://schemas.microsoft.com/office/drawing/2014/chart" uri="{C3380CC4-5D6E-409C-BE32-E72D297353CC}">
                  <c16:uniqueId val="{00000003-F0DC-4B3C-B3AD-12EA8846BF17}"/>
                </c:ext>
              </c:extLst>
            </c:dLbl>
            <c:dLbl>
              <c:idx val="2"/>
              <c:layout>
                <c:manualLayout>
                  <c:x val="0.2"/>
                  <c:y val="-6.9444444444444448E-2"/>
                </c:manualLayout>
              </c:layout>
              <c:tx>
                <c:rich>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Modern Era" panose="02000000000000000000" pitchFamily="50" charset="0"/>
                        <a:ea typeface="+mn-ea"/>
                        <a:cs typeface="+mn-cs"/>
                      </a:defRPr>
                    </a:pPr>
                    <a:r>
                      <a:rPr lang="en-US" sz="1050" baseline="0">
                        <a:latin typeface="Modern Era" panose="02000000000000000000" pitchFamily="50" charset="0"/>
                      </a:rPr>
                      <a:t>£</a:t>
                    </a:r>
                    <a:fld id="{1499B0B9-4E73-45B3-912A-F9B8D1901BE3}" type="VALUE">
                      <a:rPr lang="en-US" sz="1050" baseline="0">
                        <a:latin typeface="Modern Era" panose="02000000000000000000" pitchFamily="50" charset="0"/>
                      </a:rPr>
                      <a:pPr>
                        <a:defRPr sz="1050">
                          <a:solidFill>
                            <a:sysClr val="windowText" lastClr="000000"/>
                          </a:solidFill>
                          <a:latin typeface="Modern Era" panose="02000000000000000000" pitchFamily="50" charset="0"/>
                        </a:defRPr>
                      </a:pPr>
                      <a:t>[VALUE]</a:t>
                    </a:fld>
                    <a:r>
                      <a:rPr lang="en-US" sz="1050" baseline="0">
                        <a:latin typeface="Modern Era" panose="02000000000000000000" pitchFamily="50" charset="0"/>
                      </a:rPr>
                      <a:t>m </a:t>
                    </a:r>
                    <a:br>
                      <a:rPr lang="en-US" sz="1050" baseline="0">
                        <a:latin typeface="Modern Era" panose="02000000000000000000" pitchFamily="50" charset="0"/>
                      </a:rPr>
                    </a:br>
                    <a:r>
                      <a:rPr lang="en-US" sz="1050" baseline="0">
                        <a:latin typeface="Modern Era" panose="02000000000000000000" pitchFamily="50" charset="0"/>
                      </a:rPr>
                      <a:t>(&lt;</a:t>
                    </a:r>
                    <a:fld id="{ACD3DF06-C716-46F1-92FC-32105273C4DE}" type="PERCENTAGE">
                      <a:rPr lang="en-US" sz="1050" baseline="0">
                        <a:latin typeface="Modern Era" panose="02000000000000000000" pitchFamily="50" charset="0"/>
                      </a:rPr>
                      <a:pPr>
                        <a:defRPr sz="1050">
                          <a:solidFill>
                            <a:sysClr val="windowText" lastClr="000000"/>
                          </a:solidFill>
                          <a:latin typeface="Modern Era" panose="02000000000000000000" pitchFamily="50" charset="0"/>
                        </a:defRPr>
                      </a:pPr>
                      <a:t>[PERCENTAGE]</a:t>
                    </a:fld>
                    <a:r>
                      <a:rPr lang="en-US" sz="1050" baseline="0">
                        <a:latin typeface="Modern Era" panose="02000000000000000000" pitchFamily="50" charset="0"/>
                      </a:rPr>
                      <a:t>)</a:t>
                    </a:r>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Modern Era" panose="02000000000000000000" pitchFamily="50" charset="0"/>
                      <a:ea typeface="+mn-ea"/>
                      <a:cs typeface="+mn-cs"/>
                    </a:defRPr>
                  </a:pPr>
                  <a:endParaRPr lang="en-US"/>
                </a:p>
              </c:txPr>
              <c:showLegendKey val="0"/>
              <c:showVal val="1"/>
              <c:showCatName val="0"/>
              <c:showSerName val="0"/>
              <c:showPercent val="1"/>
              <c:showBubbleSize val="0"/>
              <c:extLst>
                <c:ext xmlns:c15="http://schemas.microsoft.com/office/drawing/2012/chart" uri="{CE6537A1-D6FC-4f65-9D91-7224C49458BB}">
                  <c15:spPr xmlns:c15="http://schemas.microsoft.com/office/drawing/2012/chart">
                    <a:prstGeom prst="accentCallout1">
                      <a:avLst/>
                    </a:prstGeom>
                    <a:noFill/>
                    <a:ln>
                      <a:noFill/>
                    </a:ln>
                  </c15:spPr>
                  <c15:dlblFieldTable/>
                  <c15:showDataLabelsRange val="0"/>
                </c:ext>
                <c:ext xmlns:c16="http://schemas.microsoft.com/office/drawing/2014/chart" uri="{C3380CC4-5D6E-409C-BE32-E72D297353CC}">
                  <c16:uniqueId val="{00000005-F0DC-4B3C-B3AD-12EA8846BF1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Modern Era" panose="02000000000000000000" pitchFamily="50" charset="0"/>
                    <a:ea typeface="+mn-ea"/>
                    <a:cs typeface="+mn-cs"/>
                  </a:defRPr>
                </a:pPr>
                <a:endParaRPr lang="en-US"/>
              </a:p>
            </c:txPr>
            <c:showLegendKey val="0"/>
            <c:showVal val="1"/>
            <c:showCatName val="0"/>
            <c:showSerName val="0"/>
            <c:showPercent val="1"/>
            <c:showBubbleSize val="0"/>
            <c:showLeaderLines val="0"/>
            <c:extLst>
              <c:ext xmlns:c15="http://schemas.microsoft.com/office/drawing/2012/chart" uri="{CE6537A1-D6FC-4f65-9D91-7224C49458BB}">
                <c15:spPr xmlns:c15="http://schemas.microsoft.com/office/drawing/2012/chart">
                  <a:prstGeom prst="accentCallout1">
                    <a:avLst/>
                  </a:prstGeom>
                  <a:noFill/>
                  <a:ln>
                    <a:noFill/>
                  </a:ln>
                </c15:spPr>
              </c:ext>
            </c:extLst>
          </c:dLbls>
          <c:cat>
            <c:strRef>
              <c:f>'Direct and channels'!$B$17:$B$19</c:f>
              <c:strCache>
                <c:ptCount val="3"/>
                <c:pt idx="0">
                  <c:v>Towpath visitor activity</c:v>
                </c:pt>
                <c:pt idx="1">
                  <c:v>Boating activity</c:v>
                </c:pt>
                <c:pt idx="2">
                  <c:v>Waterway construction and maintenance</c:v>
                </c:pt>
              </c:strCache>
            </c:strRef>
          </c:cat>
          <c:val>
            <c:numRef>
              <c:f>'Direct and channels'!$C$17:$C$19</c:f>
              <c:numCache>
                <c:formatCode>_-* #,##0_-;\-* #,##0_-;_-* "-"??_-;_-@_-</c:formatCode>
                <c:ptCount val="3"/>
                <c:pt idx="0">
                  <c:v>2945</c:v>
                </c:pt>
                <c:pt idx="1">
                  <c:v>2152</c:v>
                </c:pt>
                <c:pt idx="2">
                  <c:v>37</c:v>
                </c:pt>
              </c:numCache>
            </c:numRef>
          </c:val>
          <c:extLst>
            <c:ext xmlns:c16="http://schemas.microsoft.com/office/drawing/2014/chart" uri="{C3380CC4-5D6E-409C-BE32-E72D297353CC}">
              <c16:uniqueId val="{00000006-F0DC-4B3C-B3AD-12EA8846BF17}"/>
            </c:ext>
          </c:extLst>
        </c:ser>
        <c:dLbls>
          <c:showLegendKey val="0"/>
          <c:showVal val="0"/>
          <c:showCatName val="0"/>
          <c:showSerName val="0"/>
          <c:showPercent val="0"/>
          <c:showBubbleSize val="0"/>
          <c:showLeaderLines val="0"/>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odern Era" panose="02000000000000000000"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AD8-48F2-82B6-8BAB612186E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AD8-48F2-82B6-8BAB612186E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AD8-48F2-82B6-8BAB612186E9}"/>
              </c:ext>
            </c:extLst>
          </c:dPt>
          <c:dLbls>
            <c:dLbl>
              <c:idx val="0"/>
              <c:layout>
                <c:manualLayout>
                  <c:x val="0.11388888888888879"/>
                  <c:y val="0.44811320754716988"/>
                </c:manualLayout>
              </c:layout>
              <c:tx>
                <c:rich>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Modern Era" panose="02000000000000000000" pitchFamily="50" charset="0"/>
                        <a:ea typeface="+mn-ea"/>
                        <a:cs typeface="+mn-cs"/>
                      </a:defRPr>
                    </a:pPr>
                    <a:fld id="{1B947BD4-C281-42DD-8EBC-2E11B014EBFD}" type="VALUE">
                      <a:rPr lang="en-US"/>
                      <a:pPr>
                        <a:defRPr sz="1050">
                          <a:solidFill>
                            <a:sysClr val="windowText" lastClr="000000"/>
                          </a:solidFill>
                          <a:latin typeface="Modern Era" panose="02000000000000000000" pitchFamily="50" charset="0"/>
                        </a:defRPr>
                      </a:pPr>
                      <a:t>[VALUE]</a:t>
                    </a:fld>
                    <a:endParaRPr lang="en-US" baseline="0"/>
                  </a:p>
                  <a:p>
                    <a:pPr>
                      <a:defRPr sz="1050">
                        <a:solidFill>
                          <a:sysClr val="windowText" lastClr="000000"/>
                        </a:solidFill>
                        <a:latin typeface="Modern Era" panose="02000000000000000000" pitchFamily="50" charset="0"/>
                      </a:defRPr>
                    </a:pPr>
                    <a:r>
                      <a:rPr lang="en-US"/>
                      <a:t>(</a:t>
                    </a:r>
                    <a:fld id="{A575E231-7BCC-4DA7-A07C-F6CA58935AF1}" type="PERCENTAGE">
                      <a:rPr lang="en-US"/>
                      <a:pPr>
                        <a:defRPr sz="1050">
                          <a:solidFill>
                            <a:sysClr val="windowText" lastClr="000000"/>
                          </a:solidFill>
                          <a:latin typeface="Modern Era" panose="02000000000000000000" pitchFamily="50" charset="0"/>
                        </a:defRPr>
                      </a:pPr>
                      <a:t>[PERCENTAGE]</a:t>
                    </a:fld>
                    <a:r>
                      <a:rPr lang="en-US"/>
                      <a:t>)</a:t>
                    </a:r>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Modern Era" panose="02000000000000000000" pitchFamily="50" charset="0"/>
                      <a:ea typeface="+mn-ea"/>
                      <a:cs typeface="+mn-cs"/>
                    </a:defRPr>
                  </a:pPr>
                  <a:endParaRPr lang="en-US"/>
                </a:p>
              </c:txPr>
              <c:showLegendKey val="0"/>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accentCallout1">
                      <a:avLst>
                        <a:gd name="adj1" fmla="val 18750"/>
                        <a:gd name="adj2" fmla="val -8333"/>
                        <a:gd name="adj3" fmla="val -63206"/>
                        <a:gd name="adj4" fmla="val -49482"/>
                      </a:avLst>
                    </a:prstGeom>
                    <a:noFill/>
                    <a:ln>
                      <a:noFill/>
                    </a:ln>
                  </c15:spPr>
                  <c15:dlblFieldTable/>
                  <c15:showDataLabelsRange val="0"/>
                </c:ext>
                <c:ext xmlns:c16="http://schemas.microsoft.com/office/drawing/2014/chart" uri="{C3380CC4-5D6E-409C-BE32-E72D297353CC}">
                  <c16:uniqueId val="{00000001-8AD8-48F2-82B6-8BAB612186E9}"/>
                </c:ext>
              </c:extLst>
            </c:dLbl>
            <c:dLbl>
              <c:idx val="1"/>
              <c:layout>
                <c:manualLayout>
                  <c:x val="-6.1111111111111109E-2"/>
                  <c:y val="-0.55660377358490565"/>
                </c:manualLayout>
              </c:layout>
              <c:tx>
                <c:rich>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Modern Era" panose="02000000000000000000" pitchFamily="50" charset="0"/>
                        <a:ea typeface="+mn-ea"/>
                        <a:cs typeface="+mn-cs"/>
                      </a:defRPr>
                    </a:pPr>
                    <a:fld id="{B381076E-AB78-453A-AAA4-EBEC04654FAF}" type="VALUE">
                      <a:rPr lang="en-US"/>
                      <a:pPr>
                        <a:defRPr sz="1050">
                          <a:solidFill>
                            <a:sysClr val="windowText" lastClr="000000"/>
                          </a:solidFill>
                          <a:latin typeface="Modern Era" panose="02000000000000000000" pitchFamily="50" charset="0"/>
                        </a:defRPr>
                      </a:pPr>
                      <a:t>[VALUE]</a:t>
                    </a:fld>
                    <a:endParaRPr lang="en-US" baseline="0"/>
                  </a:p>
                  <a:p>
                    <a:pPr>
                      <a:defRPr sz="1050">
                        <a:solidFill>
                          <a:sysClr val="windowText" lastClr="000000"/>
                        </a:solidFill>
                        <a:latin typeface="Modern Era" panose="02000000000000000000" pitchFamily="50" charset="0"/>
                      </a:defRPr>
                    </a:pPr>
                    <a:r>
                      <a:rPr lang="en-US"/>
                      <a:t>(</a:t>
                    </a:r>
                    <a:fld id="{87114078-9F70-4B52-AA4B-9F9E37F2F0D9}" type="PERCENTAGE">
                      <a:rPr lang="en-US"/>
                      <a:pPr>
                        <a:defRPr sz="1050">
                          <a:solidFill>
                            <a:sysClr val="windowText" lastClr="000000"/>
                          </a:solidFill>
                          <a:latin typeface="Modern Era" panose="02000000000000000000" pitchFamily="50" charset="0"/>
                        </a:defRPr>
                      </a:pPr>
                      <a:t>[PERCENTAGE]</a:t>
                    </a:fld>
                    <a:r>
                      <a:rPr lang="en-US"/>
                      <a:t>)</a:t>
                    </a:r>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Modern Era" panose="02000000000000000000" pitchFamily="50" charset="0"/>
                      <a:ea typeface="+mn-ea"/>
                      <a:cs typeface="+mn-cs"/>
                    </a:defRPr>
                  </a:pPr>
                  <a:endParaRPr lang="en-US"/>
                </a:p>
              </c:txPr>
              <c:showLegendKey val="0"/>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accentCallout1">
                      <a:avLst>
                        <a:gd name="adj1" fmla="val 99981"/>
                        <a:gd name="adj2" fmla="val -8333"/>
                        <a:gd name="adj3" fmla="val 306655"/>
                        <a:gd name="adj4" fmla="val 104837"/>
                      </a:avLst>
                    </a:prstGeom>
                    <a:noFill/>
                    <a:ln>
                      <a:noFill/>
                    </a:ln>
                  </c15:spPr>
                  <c15:dlblFieldTable/>
                  <c15:showDataLabelsRange val="0"/>
                </c:ext>
                <c:ext xmlns:c16="http://schemas.microsoft.com/office/drawing/2014/chart" uri="{C3380CC4-5D6E-409C-BE32-E72D297353CC}">
                  <c16:uniqueId val="{00000003-8AD8-48F2-82B6-8BAB612186E9}"/>
                </c:ext>
              </c:extLst>
            </c:dLbl>
            <c:dLbl>
              <c:idx val="2"/>
              <c:layout>
                <c:manualLayout>
                  <c:x val="0.1666666666666666"/>
                  <c:y val="-7.0754716981132074E-2"/>
                </c:manualLayout>
              </c:layout>
              <c:tx>
                <c:rich>
                  <a:bodyPr/>
                  <a:lstStyle/>
                  <a:p>
                    <a:fld id="{181E4524-2DA5-4AA8-8188-C3F68C8A84AC}" type="VALUE">
                      <a:rPr lang="en-US"/>
                      <a:pPr/>
                      <a:t>[VALUE]</a:t>
                    </a:fld>
                    <a:endParaRPr lang="en-US" baseline="0"/>
                  </a:p>
                  <a:p>
                    <a:r>
                      <a:rPr lang="en-US"/>
                      <a:t>(&lt;1%)</a:t>
                    </a:r>
                  </a:p>
                </c:rich>
              </c:tx>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8AD8-48F2-82B6-8BAB612186E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Modern Era" panose="02000000000000000000" pitchFamily="50" charset="0"/>
                    <a:ea typeface="+mn-ea"/>
                    <a:cs typeface="+mn-cs"/>
                  </a:defRPr>
                </a:pPr>
                <a:endParaRPr lang="en-US"/>
              </a:p>
            </c:txPr>
            <c:showLegendKey val="0"/>
            <c:showVal val="1"/>
            <c:showCatName val="0"/>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accentCallout1">
                    <a:avLst/>
                  </a:prstGeom>
                  <a:noFill/>
                  <a:ln>
                    <a:noFill/>
                  </a:ln>
                </c15:spPr>
              </c:ext>
            </c:extLst>
          </c:dLbls>
          <c:cat>
            <c:strRef>
              <c:f>'Direct and channels'!$B$33:$B$35</c:f>
              <c:strCache>
                <c:ptCount val="3"/>
                <c:pt idx="0">
                  <c:v>Towpath visitor activity</c:v>
                </c:pt>
                <c:pt idx="1">
                  <c:v>Boating activity</c:v>
                </c:pt>
                <c:pt idx="2">
                  <c:v>Waterway construction and maintenance</c:v>
                </c:pt>
              </c:strCache>
            </c:strRef>
          </c:cat>
          <c:val>
            <c:numRef>
              <c:f>'Direct and channels'!$C$33:$C$35</c:f>
              <c:numCache>
                <c:formatCode>_-* #,##0_-;\-* #,##0_-;_-* "-"??_-;_-@_-</c:formatCode>
                <c:ptCount val="3"/>
                <c:pt idx="0">
                  <c:v>52700</c:v>
                </c:pt>
                <c:pt idx="1">
                  <c:v>97500</c:v>
                </c:pt>
                <c:pt idx="2">
                  <c:v>300</c:v>
                </c:pt>
              </c:numCache>
            </c:numRef>
          </c:val>
          <c:extLst>
            <c:ext xmlns:c16="http://schemas.microsoft.com/office/drawing/2014/chart" uri="{C3380CC4-5D6E-409C-BE32-E72D297353CC}">
              <c16:uniqueId val="{00000006-8AD8-48F2-82B6-8BAB612186E9}"/>
            </c:ext>
          </c:extLst>
        </c:ser>
        <c:dLbls>
          <c:showLegendKey val="0"/>
          <c:showVal val="1"/>
          <c:showCatName val="0"/>
          <c:showSerName val="0"/>
          <c:showPercent val="0"/>
          <c:showBubbleSize val="0"/>
          <c:showLeaderLines val="0"/>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odern Era" panose="02000000000000000000"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tx2"/>
            </a:solidFill>
            <a:ln>
              <a:noFill/>
            </a:ln>
            <a:effectLst/>
          </c:spPr>
          <c:invertIfNegative val="0"/>
          <c:dPt>
            <c:idx val="4"/>
            <c:invertIfNegative val="0"/>
            <c:bubble3D val="0"/>
            <c:spPr>
              <a:solidFill>
                <a:schemeClr val="accent1"/>
              </a:solidFill>
              <a:ln>
                <a:noFill/>
              </a:ln>
              <a:effectLst/>
            </c:spPr>
            <c:extLst>
              <c:ext xmlns:c16="http://schemas.microsoft.com/office/drawing/2014/chart" uri="{C3380CC4-5D6E-409C-BE32-E72D297353CC}">
                <c16:uniqueId val="{00000001-3D6B-46D5-8341-D84E6F3059D5}"/>
              </c:ext>
            </c:extLst>
          </c:dPt>
          <c:dLbls>
            <c:dLbl>
              <c:idx val="5"/>
              <c:tx>
                <c:rich>
                  <a:bodyPr/>
                  <a:lstStyle/>
                  <a:p>
                    <a:fld id="{BDE3646E-823E-4B61-AC7E-E1969B1F334B}" type="VALUE">
                      <a:rPr lang="en-US"/>
                      <a:pPr/>
                      <a:t>[VALUE]</a:t>
                    </a:fld>
                    <a:r>
                      <a:rPr lang="en-US"/>
                      <a:t>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90CC-44E8-AD2F-B42DB64BFAD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'Sector comparison'!$B$6:$B$12</c:f>
              <c:strCache>
                <c:ptCount val="7"/>
                <c:pt idx="0">
                  <c:v>Holiday accommodation</c:v>
                </c:pt>
                <c:pt idx="1">
                  <c:v>Amusement and recreation activities</c:v>
                </c:pt>
                <c:pt idx="2">
                  <c:v>Operation of Sports facilities</c:v>
                </c:pt>
                <c:pt idx="3">
                  <c:v>Gambling and betting activities</c:v>
                </c:pt>
                <c:pt idx="4">
                  <c:v>Activity along CRT-managed waterways</c:v>
                </c:pt>
                <c:pt idx="5">
                  <c:v>Event catering and food service activities</c:v>
                </c:pt>
                <c:pt idx="6">
                  <c:v>Travel agency activities</c:v>
                </c:pt>
              </c:strCache>
            </c:strRef>
          </c:cat>
          <c:val>
            <c:numRef>
              <c:f>'Sector comparison'!$C$6:$C$12</c:f>
              <c:numCache>
                <c:formatCode>General</c:formatCode>
                <c:ptCount val="7"/>
                <c:pt idx="0">
                  <c:v>2.3199999999999998</c:v>
                </c:pt>
                <c:pt idx="1">
                  <c:v>2.35</c:v>
                </c:pt>
                <c:pt idx="2">
                  <c:v>3.51</c:v>
                </c:pt>
                <c:pt idx="3">
                  <c:v>4.4400000000000004</c:v>
                </c:pt>
                <c:pt idx="4">
                  <c:v>5.13</c:v>
                </c:pt>
                <c:pt idx="5">
                  <c:v>6.3</c:v>
                </c:pt>
                <c:pt idx="6">
                  <c:v>7.09</c:v>
                </c:pt>
              </c:numCache>
            </c:numRef>
          </c:val>
          <c:extLst>
            <c:ext xmlns:c16="http://schemas.microsoft.com/office/drawing/2014/chart" uri="{C3380CC4-5D6E-409C-BE32-E72D297353CC}">
              <c16:uniqueId val="{00000002-3D6B-46D5-8341-D84E6F3059D5}"/>
            </c:ext>
          </c:extLst>
        </c:ser>
        <c:dLbls>
          <c:dLblPos val="outEnd"/>
          <c:showLegendKey val="0"/>
          <c:showVal val="1"/>
          <c:showCatName val="0"/>
          <c:showSerName val="0"/>
          <c:showPercent val="0"/>
          <c:showBubbleSize val="0"/>
        </c:dLbls>
        <c:gapWidth val="219"/>
        <c:overlap val="-27"/>
        <c:axId val="1194579496"/>
        <c:axId val="1194584176"/>
      </c:barChart>
      <c:catAx>
        <c:axId val="1194579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odern Era" panose="02000000000000000000" pitchFamily="50" charset="0"/>
                <a:ea typeface="+mn-ea"/>
                <a:cs typeface="+mn-cs"/>
              </a:defRPr>
            </a:pPr>
            <a:endParaRPr lang="en-US"/>
          </a:p>
        </c:txPr>
        <c:crossAx val="1194584176"/>
        <c:crosses val="autoZero"/>
        <c:auto val="1"/>
        <c:lblAlgn val="ctr"/>
        <c:lblOffset val="100"/>
        <c:noMultiLvlLbl val="0"/>
      </c:catAx>
      <c:valAx>
        <c:axId val="1194584176"/>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1945794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tx2"/>
            </a:solidFill>
            <a:ln>
              <a:noFill/>
            </a:ln>
            <a:effectLst/>
          </c:spPr>
          <c:invertIfNegative val="0"/>
          <c:dPt>
            <c:idx val="5"/>
            <c:invertIfNegative val="0"/>
            <c:bubble3D val="0"/>
            <c:spPr>
              <a:solidFill>
                <a:schemeClr val="accent1"/>
              </a:solidFill>
              <a:ln>
                <a:noFill/>
              </a:ln>
              <a:effectLst/>
            </c:spPr>
            <c:extLst>
              <c:ext xmlns:c16="http://schemas.microsoft.com/office/drawing/2014/chart" uri="{C3380CC4-5D6E-409C-BE32-E72D297353CC}">
                <c16:uniqueId val="{00000001-451D-40A4-A30B-4E27372C1014}"/>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'Sector comparison'!$B$24:$B$30</c:f>
              <c:strCache>
                <c:ptCount val="7"/>
                <c:pt idx="0">
                  <c:v>Travel agency activities</c:v>
                </c:pt>
                <c:pt idx="1">
                  <c:v>Holiday accommodation</c:v>
                </c:pt>
                <c:pt idx="2">
                  <c:v>Gambling and betting activities</c:v>
                </c:pt>
                <c:pt idx="3">
                  <c:v>Amusement and recreation activities</c:v>
                </c:pt>
                <c:pt idx="4">
                  <c:v>Operation of Sports facilities</c:v>
                </c:pt>
                <c:pt idx="5">
                  <c:v>Activity along CRT-managed waterways</c:v>
                </c:pt>
                <c:pt idx="6">
                  <c:v>Event catering and food service activities</c:v>
                </c:pt>
              </c:strCache>
            </c:strRef>
          </c:cat>
          <c:val>
            <c:numRef>
              <c:f>'Sector comparison'!$C$24:$C$30</c:f>
              <c:numCache>
                <c:formatCode>_-* #,##0_-;\-* #,##0_-;_-* "-"??_-;_-@_-</c:formatCode>
                <c:ptCount val="7"/>
                <c:pt idx="0">
                  <c:v>35000</c:v>
                </c:pt>
                <c:pt idx="1">
                  <c:v>36500</c:v>
                </c:pt>
                <c:pt idx="2">
                  <c:v>51500</c:v>
                </c:pt>
                <c:pt idx="3">
                  <c:v>51500</c:v>
                </c:pt>
                <c:pt idx="4">
                  <c:v>96000</c:v>
                </c:pt>
                <c:pt idx="5">
                  <c:v>150400</c:v>
                </c:pt>
                <c:pt idx="6">
                  <c:v>159000</c:v>
                </c:pt>
              </c:numCache>
            </c:numRef>
          </c:val>
          <c:extLst>
            <c:ext xmlns:c16="http://schemas.microsoft.com/office/drawing/2014/chart" uri="{C3380CC4-5D6E-409C-BE32-E72D297353CC}">
              <c16:uniqueId val="{00000002-451D-40A4-A30B-4E27372C1014}"/>
            </c:ext>
          </c:extLst>
        </c:ser>
        <c:dLbls>
          <c:dLblPos val="outEnd"/>
          <c:showLegendKey val="0"/>
          <c:showVal val="1"/>
          <c:showCatName val="0"/>
          <c:showSerName val="0"/>
          <c:showPercent val="0"/>
          <c:showBubbleSize val="0"/>
        </c:dLbls>
        <c:gapWidth val="219"/>
        <c:overlap val="-27"/>
        <c:axId val="1194579496"/>
        <c:axId val="1194584176"/>
      </c:barChart>
      <c:catAx>
        <c:axId val="1194579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odern Era" panose="02000000000000000000" pitchFamily="50" charset="0"/>
                <a:ea typeface="+mn-ea"/>
                <a:cs typeface="+mn-cs"/>
              </a:defRPr>
            </a:pPr>
            <a:endParaRPr lang="en-US"/>
          </a:p>
        </c:txPr>
        <c:crossAx val="1194584176"/>
        <c:crosses val="autoZero"/>
        <c:auto val="1"/>
        <c:lblAlgn val="ctr"/>
        <c:lblOffset val="100"/>
        <c:noMultiLvlLbl val="0"/>
      </c:catAx>
      <c:valAx>
        <c:axId val="1194584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1945794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odern Era" panose="02000000000000000000"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'Miles of canal'!$B$4:$B$9</c:f>
              <c:strCache>
                <c:ptCount val="6"/>
                <c:pt idx="0">
                  <c:v>West Midlands</c:v>
                </c:pt>
                <c:pt idx="1">
                  <c:v>North West</c:v>
                </c:pt>
                <c:pt idx="2">
                  <c:v>Yorkshire &amp; North East</c:v>
                </c:pt>
                <c:pt idx="3">
                  <c:v>East Midlands</c:v>
                </c:pt>
                <c:pt idx="4">
                  <c:v>Wales &amp; South West</c:v>
                </c:pt>
                <c:pt idx="5">
                  <c:v>London &amp; South East</c:v>
                </c:pt>
              </c:strCache>
            </c:strRef>
          </c:cat>
          <c:val>
            <c:numRef>
              <c:f>'Miles of canal'!$C$4:$C$9</c:f>
              <c:numCache>
                <c:formatCode>0%</c:formatCode>
                <c:ptCount val="6"/>
                <c:pt idx="0">
                  <c:v>0.27</c:v>
                </c:pt>
                <c:pt idx="1">
                  <c:v>0.19</c:v>
                </c:pt>
                <c:pt idx="2">
                  <c:v>0.17</c:v>
                </c:pt>
                <c:pt idx="3">
                  <c:v>0.16</c:v>
                </c:pt>
                <c:pt idx="4">
                  <c:v>0.11</c:v>
                </c:pt>
                <c:pt idx="5">
                  <c:v>0.1</c:v>
                </c:pt>
              </c:numCache>
            </c:numRef>
          </c:val>
          <c:extLst>
            <c:ext xmlns:c16="http://schemas.microsoft.com/office/drawing/2014/chart" uri="{C3380CC4-5D6E-409C-BE32-E72D297353CC}">
              <c16:uniqueId val="{00000000-76C5-4D0B-8B1C-33FAA8C63AFE}"/>
            </c:ext>
          </c:extLst>
        </c:ser>
        <c:dLbls>
          <c:dLblPos val="outEnd"/>
          <c:showLegendKey val="0"/>
          <c:showVal val="1"/>
          <c:showCatName val="0"/>
          <c:showSerName val="0"/>
          <c:showPercent val="0"/>
          <c:showBubbleSize val="0"/>
        </c:dLbls>
        <c:gapWidth val="219"/>
        <c:overlap val="-27"/>
        <c:axId val="536246440"/>
        <c:axId val="536243560"/>
      </c:barChart>
      <c:catAx>
        <c:axId val="536246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odern Era" panose="02000000000000000000" pitchFamily="50" charset="0"/>
                <a:ea typeface="+mn-ea"/>
                <a:cs typeface="+mn-cs"/>
              </a:defRPr>
            </a:pPr>
            <a:endParaRPr lang="en-US"/>
          </a:p>
        </c:txPr>
        <c:crossAx val="536243560"/>
        <c:crosses val="autoZero"/>
        <c:auto val="1"/>
        <c:lblAlgn val="ctr"/>
        <c:lblOffset val="100"/>
        <c:noMultiLvlLbl val="0"/>
      </c:catAx>
      <c:valAx>
        <c:axId val="53624356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odern Era" panose="02000000000000000000" pitchFamily="50" charset="0"/>
                <a:ea typeface="+mn-ea"/>
                <a:cs typeface="+mn-cs"/>
              </a:defRPr>
            </a:pPr>
            <a:endParaRPr lang="en-US"/>
          </a:p>
        </c:txPr>
        <c:crossAx val="5362464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Modern Era" panose="02000000000000000000" pitchFamily="50"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972-4C90-A682-5FCF085816D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972-4C90-A682-5FCF085816D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972-4C90-A682-5FCF085816D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972-4C90-A682-5FCF085816D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972-4C90-A682-5FCF085816D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972-4C90-A682-5FCF085816DC}"/>
              </c:ext>
            </c:extLst>
          </c:dPt>
          <c:dLbls>
            <c:dLbl>
              <c:idx val="0"/>
              <c:layout>
                <c:manualLayout>
                  <c:x val="7.9375000000000001E-2"/>
                  <c:y val="-0.10606719677065753"/>
                </c:manualLayout>
              </c:layout>
              <c:tx>
                <c:rich>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Modern Era" panose="02000000000000000000" pitchFamily="50" charset="0"/>
                        <a:ea typeface="+mn-ea"/>
                        <a:cs typeface="+mn-cs"/>
                      </a:defRPr>
                    </a:pPr>
                    <a:r>
                      <a:rPr lang="en-US"/>
                      <a:t>£</a:t>
                    </a:r>
                    <a:fld id="{FFA6BBC4-E421-4D97-B6A8-FF7C5294A418}" type="VALUE">
                      <a:rPr lang="en-US"/>
                      <a:pPr>
                        <a:defRPr sz="1050">
                          <a:solidFill>
                            <a:sysClr val="windowText" lastClr="000000"/>
                          </a:solidFill>
                          <a:latin typeface="Modern Era" panose="02000000000000000000" pitchFamily="50" charset="0"/>
                        </a:defRPr>
                      </a:pPr>
                      <a:t>[VALUE]</a:t>
                    </a:fld>
                    <a:r>
                      <a:rPr lang="en-US"/>
                      <a:t>m</a:t>
                    </a:r>
                    <a:endParaRPr lang="en-US" baseline="0"/>
                  </a:p>
                  <a:p>
                    <a:pPr>
                      <a:defRPr sz="1050">
                        <a:solidFill>
                          <a:sysClr val="windowText" lastClr="000000"/>
                        </a:solidFill>
                        <a:latin typeface="Modern Era" panose="02000000000000000000" pitchFamily="50" charset="0"/>
                      </a:defRPr>
                    </a:pPr>
                    <a:r>
                      <a:rPr lang="en-US"/>
                      <a:t>(</a:t>
                    </a:r>
                    <a:fld id="{3C1BB4DF-816F-448D-B666-15272C3B537D}" type="PERCENTAGE">
                      <a:rPr lang="en-US"/>
                      <a:pPr>
                        <a:defRPr sz="1050">
                          <a:solidFill>
                            <a:sysClr val="windowText" lastClr="000000"/>
                          </a:solidFill>
                          <a:latin typeface="Modern Era" panose="02000000000000000000" pitchFamily="50" charset="0"/>
                        </a:defRPr>
                      </a:pPr>
                      <a:t>[PERCENTAGE]</a:t>
                    </a:fld>
                    <a:r>
                      <a:rPr lang="en-US"/>
                      <a:t>)</a:t>
                    </a:r>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Modern Era" panose="02000000000000000000" pitchFamily="50" charset="0"/>
                      <a:ea typeface="+mn-ea"/>
                      <a:cs typeface="+mn-cs"/>
                    </a:defRPr>
                  </a:pPr>
                  <a:endParaRPr lang="en-US"/>
                </a:p>
              </c:txPr>
              <c:showLegendKey val="0"/>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accentCallout1">
                      <a:avLst>
                        <a:gd name="adj1" fmla="val -1990"/>
                        <a:gd name="adj2" fmla="val -8333"/>
                        <a:gd name="adj3" fmla="val 107035"/>
                        <a:gd name="adj4" fmla="val -37217"/>
                      </a:avLst>
                    </a:prstGeom>
                    <a:noFill/>
                    <a:ln>
                      <a:noFill/>
                    </a:ln>
                  </c15:spPr>
                  <c15:dlblFieldTable/>
                  <c15:showDataLabelsRange val="0"/>
                </c:ext>
                <c:ext xmlns:c16="http://schemas.microsoft.com/office/drawing/2014/chart" uri="{C3380CC4-5D6E-409C-BE32-E72D297353CC}">
                  <c16:uniqueId val="{00000001-7972-4C90-A682-5FCF085816DC}"/>
                </c:ext>
              </c:extLst>
            </c:dLbl>
            <c:dLbl>
              <c:idx val="1"/>
              <c:layout>
                <c:manualLayout>
                  <c:x val="0.1190625"/>
                  <c:y val="3.9775198788996491E-2"/>
                </c:manualLayout>
              </c:layout>
              <c:tx>
                <c:rich>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Modern Era" panose="02000000000000000000" pitchFamily="50" charset="0"/>
                        <a:ea typeface="+mn-ea"/>
                        <a:cs typeface="+mn-cs"/>
                      </a:defRPr>
                    </a:pPr>
                    <a:r>
                      <a:rPr lang="en-US"/>
                      <a:t>£</a:t>
                    </a:r>
                    <a:fld id="{0CDA4574-7435-494C-9A08-61054721A11D}" type="VALUE">
                      <a:rPr lang="en-US"/>
                      <a:pPr>
                        <a:defRPr sz="1050">
                          <a:solidFill>
                            <a:sysClr val="windowText" lastClr="000000"/>
                          </a:solidFill>
                          <a:latin typeface="Modern Era" panose="02000000000000000000" pitchFamily="50" charset="0"/>
                        </a:defRPr>
                      </a:pPr>
                      <a:t>[VALUE]</a:t>
                    </a:fld>
                    <a:r>
                      <a:rPr lang="en-US"/>
                      <a:t>m</a:t>
                    </a:r>
                    <a:endParaRPr lang="en-US" baseline="0"/>
                  </a:p>
                  <a:p>
                    <a:pPr>
                      <a:defRPr sz="1050">
                        <a:solidFill>
                          <a:sysClr val="windowText" lastClr="000000"/>
                        </a:solidFill>
                        <a:latin typeface="Modern Era" panose="02000000000000000000" pitchFamily="50" charset="0"/>
                      </a:defRPr>
                    </a:pPr>
                    <a:r>
                      <a:rPr lang="en-US"/>
                      <a:t>(</a:t>
                    </a:r>
                    <a:fld id="{ECF53CFB-F1A8-4B85-8113-7018863BFEF2}" type="PERCENTAGE">
                      <a:rPr lang="en-US"/>
                      <a:pPr>
                        <a:defRPr sz="1050">
                          <a:solidFill>
                            <a:sysClr val="windowText" lastClr="000000"/>
                          </a:solidFill>
                          <a:latin typeface="Modern Era" panose="02000000000000000000" pitchFamily="50" charset="0"/>
                        </a:defRPr>
                      </a:pPr>
                      <a:t>[PERCENTAGE]</a:t>
                    </a:fld>
                    <a:r>
                      <a:rPr lang="en-US"/>
                      <a:t>)</a:t>
                    </a:r>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Modern Era" panose="02000000000000000000" pitchFamily="50" charset="0"/>
                      <a:ea typeface="+mn-ea"/>
                      <a:cs typeface="+mn-cs"/>
                    </a:defRPr>
                  </a:pPr>
                  <a:endParaRPr lang="en-US"/>
                </a:p>
              </c:txPr>
              <c:showLegendKey val="0"/>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accentCallout1">
                      <a:avLst>
                        <a:gd name="adj1" fmla="val 603"/>
                        <a:gd name="adj2" fmla="val -8333"/>
                        <a:gd name="adj3" fmla="val 6792"/>
                        <a:gd name="adj4" fmla="val -72412"/>
                      </a:avLst>
                    </a:prstGeom>
                    <a:noFill/>
                    <a:ln>
                      <a:noFill/>
                    </a:ln>
                  </c15:spPr>
                  <c15:dlblFieldTable/>
                  <c15:showDataLabelsRange val="0"/>
                </c:ext>
                <c:ext xmlns:c16="http://schemas.microsoft.com/office/drawing/2014/chart" uri="{C3380CC4-5D6E-409C-BE32-E72D297353CC}">
                  <c16:uniqueId val="{00000003-7972-4C90-A682-5FCF085816DC}"/>
                </c:ext>
              </c:extLst>
            </c:dLbl>
            <c:dLbl>
              <c:idx val="2"/>
              <c:layout>
                <c:manualLayout>
                  <c:x val="-6.1736111111111151E-2"/>
                  <c:y val="9.7228263706436072E-2"/>
                </c:manualLayout>
              </c:layout>
              <c:tx>
                <c:rich>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Modern Era" panose="02000000000000000000" pitchFamily="50" charset="0"/>
                        <a:ea typeface="+mn-ea"/>
                        <a:cs typeface="+mn-cs"/>
                      </a:defRPr>
                    </a:pPr>
                    <a:r>
                      <a:rPr lang="en-US"/>
                      <a:t>£</a:t>
                    </a:r>
                    <a:fld id="{E4A74152-DF72-406B-A2BD-E73149A13CED}" type="VALUE">
                      <a:rPr lang="en-US"/>
                      <a:pPr>
                        <a:defRPr sz="1050">
                          <a:solidFill>
                            <a:sysClr val="windowText" lastClr="000000"/>
                          </a:solidFill>
                          <a:latin typeface="Modern Era" panose="02000000000000000000" pitchFamily="50" charset="0"/>
                        </a:defRPr>
                      </a:pPr>
                      <a:t>[VALUE]</a:t>
                    </a:fld>
                    <a:r>
                      <a:rPr lang="en-US"/>
                      <a:t>m</a:t>
                    </a:r>
                    <a:endParaRPr lang="en-US" baseline="0"/>
                  </a:p>
                  <a:p>
                    <a:pPr>
                      <a:defRPr sz="1050">
                        <a:solidFill>
                          <a:sysClr val="windowText" lastClr="000000"/>
                        </a:solidFill>
                        <a:latin typeface="Modern Era" panose="02000000000000000000" pitchFamily="50" charset="0"/>
                      </a:defRPr>
                    </a:pPr>
                    <a:r>
                      <a:rPr lang="en-US"/>
                      <a:t>(</a:t>
                    </a:r>
                    <a:fld id="{759E314D-2EE3-4B6D-93A5-40CAD952E11B}" type="PERCENTAGE">
                      <a:rPr lang="en-US"/>
                      <a:pPr>
                        <a:defRPr sz="1050">
                          <a:solidFill>
                            <a:sysClr val="windowText" lastClr="000000"/>
                          </a:solidFill>
                          <a:latin typeface="Modern Era" panose="02000000000000000000" pitchFamily="50" charset="0"/>
                        </a:defRPr>
                      </a:pPr>
                      <a:t>[PERCENTAGE]</a:t>
                    </a:fld>
                    <a:r>
                      <a:rPr lang="en-US"/>
                      <a:t>)</a:t>
                    </a:r>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Modern Era" panose="02000000000000000000" pitchFamily="50" charset="0"/>
                      <a:ea typeface="+mn-ea"/>
                      <a:cs typeface="+mn-cs"/>
                    </a:defRPr>
                  </a:pPr>
                  <a:endParaRPr lang="en-US"/>
                </a:p>
              </c:txPr>
              <c:showLegendKey val="0"/>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accentCallout1">
                      <a:avLst>
                        <a:gd name="adj1" fmla="val 3195"/>
                        <a:gd name="adj2" fmla="val -5752"/>
                        <a:gd name="adj3" fmla="val -26046"/>
                        <a:gd name="adj4" fmla="val 109509"/>
                      </a:avLst>
                    </a:prstGeom>
                    <a:noFill/>
                    <a:ln>
                      <a:noFill/>
                    </a:ln>
                  </c15:spPr>
                  <c15:dlblFieldTable/>
                  <c15:showDataLabelsRange val="0"/>
                </c:ext>
                <c:ext xmlns:c16="http://schemas.microsoft.com/office/drawing/2014/chart" uri="{C3380CC4-5D6E-409C-BE32-E72D297353CC}">
                  <c16:uniqueId val="{00000005-7972-4C90-A682-5FCF085816DC}"/>
                </c:ext>
              </c:extLst>
            </c:dLbl>
            <c:dLbl>
              <c:idx val="3"/>
              <c:layout>
                <c:manualLayout>
                  <c:x val="-7.2760416666666661E-2"/>
                  <c:y val="7.5130931045882421E-2"/>
                </c:manualLayout>
              </c:layout>
              <c:tx>
                <c:rich>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Modern Era" panose="02000000000000000000" pitchFamily="50" charset="0"/>
                        <a:ea typeface="+mn-ea"/>
                        <a:cs typeface="+mn-cs"/>
                      </a:defRPr>
                    </a:pPr>
                    <a:r>
                      <a:rPr lang="en-US"/>
                      <a:t>£</a:t>
                    </a:r>
                    <a:fld id="{D2A1ADD8-0B30-4D64-B304-7E6487605BEC}" type="VALUE">
                      <a:rPr lang="en-US"/>
                      <a:pPr>
                        <a:defRPr sz="1050">
                          <a:solidFill>
                            <a:sysClr val="windowText" lastClr="000000"/>
                          </a:solidFill>
                          <a:latin typeface="Modern Era" panose="02000000000000000000" pitchFamily="50" charset="0"/>
                        </a:defRPr>
                      </a:pPr>
                      <a:t>[VALUE]</a:t>
                    </a:fld>
                    <a:r>
                      <a:rPr lang="en-US"/>
                      <a:t>m</a:t>
                    </a:r>
                    <a:endParaRPr lang="en-US" baseline="0"/>
                  </a:p>
                  <a:p>
                    <a:pPr>
                      <a:defRPr sz="1050">
                        <a:solidFill>
                          <a:sysClr val="windowText" lastClr="000000"/>
                        </a:solidFill>
                        <a:latin typeface="Modern Era" panose="02000000000000000000" pitchFamily="50" charset="0"/>
                      </a:defRPr>
                    </a:pPr>
                    <a:r>
                      <a:rPr lang="en-US"/>
                      <a:t>(</a:t>
                    </a:r>
                    <a:fld id="{25B825DC-2488-4A19-9E80-E831FF6CFE65}" type="PERCENTAGE">
                      <a:rPr lang="en-US"/>
                      <a:pPr>
                        <a:defRPr sz="1050">
                          <a:solidFill>
                            <a:sysClr val="windowText" lastClr="000000"/>
                          </a:solidFill>
                          <a:latin typeface="Modern Era" panose="02000000000000000000" pitchFamily="50" charset="0"/>
                        </a:defRPr>
                      </a:pPr>
                      <a:t>[PERCENTAGE]</a:t>
                    </a:fld>
                    <a:r>
                      <a:rPr lang="en-US"/>
                      <a:t>)</a:t>
                    </a:r>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Modern Era" panose="02000000000000000000" pitchFamily="50" charset="0"/>
                      <a:ea typeface="+mn-ea"/>
                      <a:cs typeface="+mn-cs"/>
                    </a:defRPr>
                  </a:pPr>
                  <a:endParaRPr lang="en-US"/>
                </a:p>
              </c:txPr>
              <c:showLegendKey val="0"/>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accentCallout1">
                      <a:avLst>
                        <a:gd name="adj1" fmla="val -1990"/>
                        <a:gd name="adj2" fmla="val -8333"/>
                        <a:gd name="adj3" fmla="val -6171"/>
                        <a:gd name="adj4" fmla="val 121343"/>
                      </a:avLst>
                    </a:prstGeom>
                    <a:noFill/>
                    <a:ln>
                      <a:noFill/>
                    </a:ln>
                  </c15:spPr>
                  <c15:dlblFieldTable/>
                  <c15:showDataLabelsRange val="0"/>
                </c:ext>
                <c:ext xmlns:c16="http://schemas.microsoft.com/office/drawing/2014/chart" uri="{C3380CC4-5D6E-409C-BE32-E72D297353CC}">
                  <c16:uniqueId val="{00000007-7972-4C90-A682-5FCF085816DC}"/>
                </c:ext>
              </c:extLst>
            </c:dLbl>
            <c:dLbl>
              <c:idx val="4"/>
              <c:layout>
                <c:manualLayout>
                  <c:x val="-7.055555555555558E-2"/>
                  <c:y val="-0.1016477302385468"/>
                </c:manualLayout>
              </c:layout>
              <c:tx>
                <c:rich>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Modern Era" panose="02000000000000000000" pitchFamily="50" charset="0"/>
                        <a:ea typeface="+mn-ea"/>
                        <a:cs typeface="+mn-cs"/>
                      </a:defRPr>
                    </a:pPr>
                    <a:r>
                      <a:rPr lang="en-US"/>
                      <a:t>£</a:t>
                    </a:r>
                    <a:fld id="{1E876558-777B-40D4-812E-9619D814F303}" type="VALUE">
                      <a:rPr lang="en-US"/>
                      <a:pPr>
                        <a:defRPr sz="1050">
                          <a:solidFill>
                            <a:sysClr val="windowText" lastClr="000000"/>
                          </a:solidFill>
                          <a:latin typeface="Modern Era" panose="02000000000000000000" pitchFamily="50" charset="0"/>
                        </a:defRPr>
                      </a:pPr>
                      <a:t>[VALUE]</a:t>
                    </a:fld>
                    <a:r>
                      <a:rPr lang="en-US"/>
                      <a:t>m</a:t>
                    </a:r>
                    <a:endParaRPr lang="en-US" baseline="0"/>
                  </a:p>
                  <a:p>
                    <a:pPr>
                      <a:defRPr sz="1050">
                        <a:solidFill>
                          <a:sysClr val="windowText" lastClr="000000"/>
                        </a:solidFill>
                        <a:latin typeface="Modern Era" panose="02000000000000000000" pitchFamily="50" charset="0"/>
                      </a:defRPr>
                    </a:pPr>
                    <a:r>
                      <a:rPr lang="en-US"/>
                      <a:t>(</a:t>
                    </a:r>
                    <a:fld id="{FDFC94CD-68B9-4E90-83F9-7FE31CCCB843}" type="PERCENTAGE">
                      <a:rPr lang="en-US"/>
                      <a:pPr>
                        <a:defRPr sz="1050">
                          <a:solidFill>
                            <a:sysClr val="windowText" lastClr="000000"/>
                          </a:solidFill>
                          <a:latin typeface="Modern Era" panose="02000000000000000000" pitchFamily="50" charset="0"/>
                        </a:defRPr>
                      </a:pPr>
                      <a:t>[PERCENTAGE]</a:t>
                    </a:fld>
                    <a:r>
                      <a:rPr lang="en-US"/>
                      <a:t>)</a:t>
                    </a:r>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Modern Era" panose="02000000000000000000" pitchFamily="50" charset="0"/>
                      <a:ea typeface="+mn-ea"/>
                      <a:cs typeface="+mn-cs"/>
                    </a:defRPr>
                  </a:pPr>
                  <a:endParaRPr lang="en-US"/>
                </a:p>
              </c:txPr>
              <c:showLegendKey val="0"/>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accentCallout1">
                      <a:avLst>
                        <a:gd name="adj1" fmla="val 99117"/>
                        <a:gd name="adj2" fmla="val -16088"/>
                        <a:gd name="adj3" fmla="val 117405"/>
                        <a:gd name="adj4" fmla="val 120114"/>
                      </a:avLst>
                    </a:prstGeom>
                    <a:noFill/>
                    <a:ln>
                      <a:noFill/>
                    </a:ln>
                  </c15:spPr>
                  <c15:dlblFieldTable/>
                  <c15:showDataLabelsRange val="0"/>
                </c:ext>
                <c:ext xmlns:c16="http://schemas.microsoft.com/office/drawing/2014/chart" uri="{C3380CC4-5D6E-409C-BE32-E72D297353CC}">
                  <c16:uniqueId val="{00000009-7972-4C90-A682-5FCF085816DC}"/>
                </c:ext>
              </c:extLst>
            </c:dLbl>
            <c:dLbl>
              <c:idx val="5"/>
              <c:layout>
                <c:manualLayout>
                  <c:x val="-7.9375000000000043E-2"/>
                  <c:y val="-7.071146451377168E-2"/>
                </c:manualLayout>
              </c:layout>
              <c:tx>
                <c:rich>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Modern Era" panose="02000000000000000000" pitchFamily="50" charset="0"/>
                        <a:ea typeface="+mn-ea"/>
                        <a:cs typeface="+mn-cs"/>
                      </a:defRPr>
                    </a:pPr>
                    <a:r>
                      <a:rPr lang="en-US"/>
                      <a:t>£</a:t>
                    </a:r>
                    <a:fld id="{7CFAA7C2-E6DC-4CDA-A7D0-F0734695F341}" type="VALUE">
                      <a:rPr lang="en-US"/>
                      <a:pPr>
                        <a:defRPr sz="1050">
                          <a:solidFill>
                            <a:sysClr val="windowText" lastClr="000000"/>
                          </a:solidFill>
                          <a:latin typeface="Modern Era" panose="02000000000000000000" pitchFamily="50" charset="0"/>
                        </a:defRPr>
                      </a:pPr>
                      <a:t>[VALUE]</a:t>
                    </a:fld>
                    <a:r>
                      <a:rPr lang="en-US"/>
                      <a:t>m</a:t>
                    </a:r>
                    <a:endParaRPr lang="en-US" baseline="0"/>
                  </a:p>
                  <a:p>
                    <a:pPr>
                      <a:defRPr sz="1050">
                        <a:solidFill>
                          <a:sysClr val="windowText" lastClr="000000"/>
                        </a:solidFill>
                        <a:latin typeface="Modern Era" panose="02000000000000000000" pitchFamily="50" charset="0"/>
                      </a:defRPr>
                    </a:pPr>
                    <a:fld id="{03CF609F-2F90-4FBB-85D3-9B3224265964}" type="PERCENTAGE">
                      <a:rPr lang="en-US"/>
                      <a:pPr>
                        <a:defRPr sz="1050">
                          <a:solidFill>
                            <a:sysClr val="windowText" lastClr="000000"/>
                          </a:solidFill>
                          <a:latin typeface="Modern Era" panose="02000000000000000000" pitchFamily="50" charset="0"/>
                        </a:defRPr>
                      </a:pPr>
                      <a:t>[PERCENTAGE]</a:t>
                    </a:fld>
                    <a:endParaRPr lang="en-GB"/>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Modern Era" panose="02000000000000000000" pitchFamily="50" charset="0"/>
                      <a:ea typeface="+mn-ea"/>
                      <a:cs typeface="+mn-cs"/>
                    </a:defRPr>
                  </a:pPr>
                  <a:endParaRPr lang="en-US"/>
                </a:p>
              </c:txPr>
              <c:showLegendKey val="0"/>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accentCallout1">
                      <a:avLst>
                        <a:gd name="adj1" fmla="val 93932"/>
                        <a:gd name="adj2" fmla="val -8333"/>
                        <a:gd name="adj3" fmla="val 110491"/>
                        <a:gd name="adj4" fmla="val 144114"/>
                      </a:avLst>
                    </a:prstGeom>
                    <a:noFill/>
                    <a:ln>
                      <a:noFill/>
                    </a:ln>
                  </c15:spPr>
                  <c15:dlblFieldTable/>
                  <c15:showDataLabelsRange val="0"/>
                </c:ext>
                <c:ext xmlns:c16="http://schemas.microsoft.com/office/drawing/2014/chart" uri="{C3380CC4-5D6E-409C-BE32-E72D297353CC}">
                  <c16:uniqueId val="{0000000B-7972-4C90-A682-5FCF085816D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Modern Era" panose="02000000000000000000" pitchFamily="50" charset="0"/>
                    <a:ea typeface="+mn-ea"/>
                    <a:cs typeface="+mn-cs"/>
                  </a:defRPr>
                </a:pPr>
                <a:endParaRPr lang="en-US"/>
              </a:p>
            </c:txPr>
            <c:showLegendKey val="0"/>
            <c:showVal val="1"/>
            <c:showCatName val="0"/>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accentCallout1">
                    <a:avLst/>
                  </a:prstGeom>
                  <a:noFill/>
                  <a:ln>
                    <a:noFill/>
                  </a:ln>
                </c15:spPr>
              </c:ext>
            </c:extLst>
          </c:dLbls>
          <c:cat>
            <c:strRef>
              <c:f>'Regions direct'!$B$4:$B$9</c:f>
              <c:strCache>
                <c:ptCount val="6"/>
                <c:pt idx="0">
                  <c:v>London &amp; South East</c:v>
                </c:pt>
                <c:pt idx="1">
                  <c:v>West Midlands</c:v>
                </c:pt>
                <c:pt idx="2">
                  <c:v>North West</c:v>
                </c:pt>
                <c:pt idx="3">
                  <c:v>Wales &amp; South West</c:v>
                </c:pt>
                <c:pt idx="4">
                  <c:v>East Midlands</c:v>
                </c:pt>
                <c:pt idx="5">
                  <c:v>Yorkshire &amp; North East</c:v>
                </c:pt>
              </c:strCache>
            </c:strRef>
          </c:cat>
          <c:val>
            <c:numRef>
              <c:f>'Regions direct'!$C$4:$C$9</c:f>
              <c:numCache>
                <c:formatCode>_-* #,##0_-;\-* #,##0_-;_-* "-"??_-;_-@_-</c:formatCode>
                <c:ptCount val="6"/>
                <c:pt idx="0">
                  <c:v>1444</c:v>
                </c:pt>
                <c:pt idx="1">
                  <c:v>837</c:v>
                </c:pt>
                <c:pt idx="2">
                  <c:v>804</c:v>
                </c:pt>
                <c:pt idx="3">
                  <c:v>676</c:v>
                </c:pt>
                <c:pt idx="4">
                  <c:v>686</c:v>
                </c:pt>
                <c:pt idx="5">
                  <c:v>687</c:v>
                </c:pt>
              </c:numCache>
            </c:numRef>
          </c:val>
          <c:extLst>
            <c:ext xmlns:c16="http://schemas.microsoft.com/office/drawing/2014/chart" uri="{C3380CC4-5D6E-409C-BE32-E72D297353CC}">
              <c16:uniqueId val="{0000000C-7972-4C90-A682-5FCF085816DC}"/>
            </c:ext>
          </c:extLst>
        </c:ser>
        <c:dLbls>
          <c:showLegendKey val="0"/>
          <c:showVal val="1"/>
          <c:showCatName val="0"/>
          <c:showSerName val="0"/>
          <c:showPercent val="0"/>
          <c:showBubbleSize val="0"/>
          <c:showLeaderLines val="0"/>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odern Era" panose="02000000000000000000"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954-45D1-AB83-0D6E864812F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954-45D1-AB83-0D6E864812F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954-45D1-AB83-0D6E864812F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954-45D1-AB83-0D6E864812F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954-45D1-AB83-0D6E864812F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954-45D1-AB83-0D6E864812FD}"/>
              </c:ext>
            </c:extLst>
          </c:dPt>
          <c:dLbls>
            <c:dLbl>
              <c:idx val="0"/>
              <c:layout>
                <c:manualLayout>
                  <c:x val="6.8313039253536462E-2"/>
                  <c:y val="-0.13258399596332193"/>
                </c:manualLayout>
              </c:layout>
              <c:tx>
                <c:rich>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Modern Era" panose="02000000000000000000" pitchFamily="50" charset="0"/>
                        <a:ea typeface="+mn-ea"/>
                        <a:cs typeface="+mn-cs"/>
                      </a:defRPr>
                    </a:pPr>
                    <a:fld id="{CD389A43-C050-4F3D-8F89-0724F912A51D}" type="VALUE">
                      <a:rPr lang="en-US"/>
                      <a:pPr>
                        <a:defRPr sz="1050">
                          <a:solidFill>
                            <a:sysClr val="windowText" lastClr="000000"/>
                          </a:solidFill>
                          <a:latin typeface="Modern Era" panose="02000000000000000000" pitchFamily="50" charset="0"/>
                        </a:defRPr>
                      </a:pPr>
                      <a:t>[VALUE]</a:t>
                    </a:fld>
                    <a:r>
                      <a:rPr lang="en-US" baseline="0"/>
                      <a:t>
(</a:t>
                    </a:r>
                    <a:fld id="{806B1F51-89E7-482E-BABE-CE49BAA7DFDE}" type="PERCENTAGE">
                      <a:rPr lang="en-US" baseline="0"/>
                      <a:pPr>
                        <a:defRPr sz="1050">
                          <a:solidFill>
                            <a:sysClr val="windowText" lastClr="000000"/>
                          </a:solidFill>
                          <a:latin typeface="Modern Era" panose="02000000000000000000" pitchFamily="50" charset="0"/>
                        </a:defRPr>
                      </a:pPr>
                      <a:t>[PERCENTAGE]</a:t>
                    </a:fld>
                    <a:r>
                      <a:rPr lang="en-US" baseline="0"/>
                      <a:t>)</a:t>
                    </a:r>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Modern Era" panose="02000000000000000000" pitchFamily="50" charset="0"/>
                      <a:ea typeface="+mn-ea"/>
                      <a:cs typeface="+mn-cs"/>
                    </a:defRPr>
                  </a:pPr>
                  <a:endParaRPr lang="en-US"/>
                </a:p>
              </c:txPr>
              <c:showLegendKey val="0"/>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accentCallout1">
                      <a:avLst>
                        <a:gd name="adj1" fmla="val -1990"/>
                        <a:gd name="adj2" fmla="val -3000"/>
                        <a:gd name="adj3" fmla="val 114812"/>
                        <a:gd name="adj4" fmla="val -55481"/>
                      </a:avLst>
                    </a:prstGeom>
                    <a:noFill/>
                    <a:ln>
                      <a:noFill/>
                    </a:ln>
                  </c15:spPr>
                  <c15:dlblFieldTable/>
                  <c15:showDataLabelsRange val="0"/>
                </c:ext>
                <c:ext xmlns:c16="http://schemas.microsoft.com/office/drawing/2014/chart" uri="{C3380CC4-5D6E-409C-BE32-E72D297353CC}">
                  <c16:uniqueId val="{00000001-A954-45D1-AB83-0D6E864812FD}"/>
                </c:ext>
              </c:extLst>
            </c:dLbl>
            <c:dLbl>
              <c:idx val="1"/>
              <c:layout>
                <c:manualLayout>
                  <c:x val="0.11018232137667171"/>
                  <c:y val="4.4194665321107302E-2"/>
                </c:manualLayout>
              </c:layout>
              <c:tx>
                <c:rich>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Modern Era" panose="02000000000000000000" pitchFamily="50" charset="0"/>
                        <a:ea typeface="+mn-ea"/>
                        <a:cs typeface="+mn-cs"/>
                      </a:defRPr>
                    </a:pPr>
                    <a:fld id="{B52050D6-0184-44DC-831D-C9DF0B60AFE0}" type="VALUE">
                      <a:rPr lang="en-US"/>
                      <a:pPr>
                        <a:defRPr sz="1050">
                          <a:solidFill>
                            <a:sysClr val="windowText" lastClr="000000"/>
                          </a:solidFill>
                          <a:latin typeface="Modern Era" panose="02000000000000000000" pitchFamily="50" charset="0"/>
                        </a:defRPr>
                      </a:pPr>
                      <a:t>[VALUE]</a:t>
                    </a:fld>
                    <a:r>
                      <a:rPr lang="en-US" baseline="0"/>
                      <a:t>
(</a:t>
                    </a:r>
                    <a:fld id="{FFAC2253-B9B7-49A2-9D36-AEE773F6CFC6}" type="PERCENTAGE">
                      <a:rPr lang="en-US" baseline="0"/>
                      <a:pPr>
                        <a:defRPr sz="1050">
                          <a:solidFill>
                            <a:sysClr val="windowText" lastClr="000000"/>
                          </a:solidFill>
                          <a:latin typeface="Modern Era" panose="02000000000000000000" pitchFamily="50" charset="0"/>
                        </a:defRPr>
                      </a:pPr>
                      <a:t>[PERCENTAGE]</a:t>
                    </a:fld>
                    <a:r>
                      <a:rPr lang="en-US" baseline="0"/>
                      <a:t>)</a:t>
                    </a:r>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Modern Era" panose="02000000000000000000" pitchFamily="50" charset="0"/>
                      <a:ea typeface="+mn-ea"/>
                      <a:cs typeface="+mn-cs"/>
                    </a:defRPr>
                  </a:pPr>
                  <a:endParaRPr lang="en-US"/>
                </a:p>
              </c:txPr>
              <c:showLegendKey val="0"/>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accentCallout1">
                      <a:avLst>
                        <a:gd name="adj1" fmla="val 603"/>
                        <a:gd name="adj2" fmla="val -6548"/>
                        <a:gd name="adj3" fmla="val 15434"/>
                        <a:gd name="adj4" fmla="val -54709"/>
                      </a:avLst>
                    </a:prstGeom>
                    <a:noFill/>
                    <a:ln>
                      <a:noFill/>
                    </a:ln>
                  </c15:spPr>
                  <c15:dlblFieldTable/>
                  <c15:showDataLabelsRange val="0"/>
                </c:ext>
                <c:ext xmlns:c16="http://schemas.microsoft.com/office/drawing/2014/chart" uri="{C3380CC4-5D6E-409C-BE32-E72D297353CC}">
                  <c16:uniqueId val="{00000003-A954-45D1-AB83-0D6E864812FD}"/>
                </c:ext>
              </c:extLst>
            </c:dLbl>
            <c:dLbl>
              <c:idx val="2"/>
              <c:layout>
                <c:manualLayout>
                  <c:x val="-8.5942210673803976E-2"/>
                  <c:y val="9.7228263706435905E-2"/>
                </c:manualLayout>
              </c:layout>
              <c:tx>
                <c:rich>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Modern Era" panose="02000000000000000000" pitchFamily="50" charset="0"/>
                        <a:ea typeface="+mn-ea"/>
                        <a:cs typeface="+mn-cs"/>
                      </a:defRPr>
                    </a:pPr>
                    <a:fld id="{1C4A74CF-814F-4B7C-A7BB-BEEC8B859567}" type="VALUE">
                      <a:rPr lang="en-US"/>
                      <a:pPr>
                        <a:defRPr sz="1050">
                          <a:solidFill>
                            <a:sysClr val="windowText" lastClr="000000"/>
                          </a:solidFill>
                          <a:latin typeface="Modern Era" panose="02000000000000000000" pitchFamily="50" charset="0"/>
                        </a:defRPr>
                      </a:pPr>
                      <a:t>[VALUE]</a:t>
                    </a:fld>
                    <a:r>
                      <a:rPr lang="en-US" baseline="0"/>
                      <a:t>
(</a:t>
                    </a:r>
                    <a:fld id="{EEBB8E11-9CCC-4FB4-8CEB-85CAC0F20A92}" type="PERCENTAGE">
                      <a:rPr lang="en-US" baseline="0"/>
                      <a:pPr>
                        <a:defRPr sz="1050">
                          <a:solidFill>
                            <a:sysClr val="windowText" lastClr="000000"/>
                          </a:solidFill>
                          <a:latin typeface="Modern Era" panose="02000000000000000000" pitchFamily="50" charset="0"/>
                        </a:defRPr>
                      </a:pPr>
                      <a:t>[PERCENTAGE]</a:t>
                    </a:fld>
                    <a:r>
                      <a:rPr lang="en-US" baseline="0"/>
                      <a:t>)</a:t>
                    </a:r>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Modern Era" panose="02000000000000000000" pitchFamily="50" charset="0"/>
                      <a:ea typeface="+mn-ea"/>
                      <a:cs typeface="+mn-cs"/>
                    </a:defRPr>
                  </a:pPr>
                  <a:endParaRPr lang="en-US"/>
                </a:p>
              </c:txPr>
              <c:showLegendKey val="0"/>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accentCallout1">
                      <a:avLst>
                        <a:gd name="adj1" fmla="val 3195"/>
                        <a:gd name="adj2" fmla="val -8333"/>
                        <a:gd name="adj3" fmla="val -26046"/>
                        <a:gd name="adj4" fmla="val 142532"/>
                      </a:avLst>
                    </a:prstGeom>
                    <a:noFill/>
                    <a:ln>
                      <a:noFill/>
                    </a:ln>
                  </c15:spPr>
                  <c15:dlblFieldTable/>
                  <c15:showDataLabelsRange val="0"/>
                </c:ext>
                <c:ext xmlns:c16="http://schemas.microsoft.com/office/drawing/2014/chart" uri="{C3380CC4-5D6E-409C-BE32-E72D297353CC}">
                  <c16:uniqueId val="{00000005-A954-45D1-AB83-0D6E864812FD}"/>
                </c:ext>
              </c:extLst>
            </c:dLbl>
            <c:dLbl>
              <c:idx val="3"/>
              <c:layout>
                <c:manualLayout>
                  <c:x val="-9.6960442811471106E-2"/>
                  <c:y val="7.071146451377168E-2"/>
                </c:manualLayout>
              </c:layout>
              <c:tx>
                <c:rich>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Modern Era" panose="02000000000000000000" pitchFamily="50" charset="0"/>
                        <a:ea typeface="+mn-ea"/>
                        <a:cs typeface="+mn-cs"/>
                      </a:defRPr>
                    </a:pPr>
                    <a:fld id="{D556385A-C783-4326-AEF0-9618F448F108}" type="VALUE">
                      <a:rPr lang="en-US"/>
                      <a:pPr>
                        <a:defRPr sz="1050">
                          <a:solidFill>
                            <a:sysClr val="windowText" lastClr="000000"/>
                          </a:solidFill>
                          <a:latin typeface="Modern Era" panose="02000000000000000000" pitchFamily="50" charset="0"/>
                        </a:defRPr>
                      </a:pPr>
                      <a:t>[VALUE]</a:t>
                    </a:fld>
                    <a:r>
                      <a:rPr lang="en-US" baseline="0"/>
                      <a:t>
(</a:t>
                    </a:r>
                    <a:fld id="{C4D7632E-7D83-471D-AF19-4B8944BFDE18}" type="PERCENTAGE">
                      <a:rPr lang="en-US" baseline="0"/>
                      <a:pPr>
                        <a:defRPr sz="1050">
                          <a:solidFill>
                            <a:sysClr val="windowText" lastClr="000000"/>
                          </a:solidFill>
                          <a:latin typeface="Modern Era" panose="02000000000000000000" pitchFamily="50" charset="0"/>
                        </a:defRPr>
                      </a:pPr>
                      <a:t>[PERCENTAGE]</a:t>
                    </a:fld>
                    <a:r>
                      <a:rPr lang="en-US" baseline="0"/>
                      <a:t>)</a:t>
                    </a:r>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Modern Era" panose="02000000000000000000" pitchFamily="50" charset="0"/>
                      <a:ea typeface="+mn-ea"/>
                      <a:cs typeface="+mn-cs"/>
                    </a:defRPr>
                  </a:pPr>
                  <a:endParaRPr lang="en-US"/>
                </a:p>
              </c:txPr>
              <c:showLegendKey val="0"/>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accentCallout1">
                      <a:avLst>
                        <a:gd name="adj1" fmla="val 603"/>
                        <a:gd name="adj2" fmla="val -10123"/>
                        <a:gd name="adj3" fmla="val -5306"/>
                        <a:gd name="adj4" fmla="val 155024"/>
                      </a:avLst>
                    </a:prstGeom>
                    <a:noFill/>
                    <a:ln>
                      <a:noFill/>
                    </a:ln>
                  </c15:spPr>
                  <c15:dlblFieldTable/>
                  <c15:showDataLabelsRange val="0"/>
                </c:ext>
                <c:ext xmlns:c16="http://schemas.microsoft.com/office/drawing/2014/chart" uri="{C3380CC4-5D6E-409C-BE32-E72D297353CC}">
                  <c16:uniqueId val="{00000007-A954-45D1-AB83-0D6E864812FD}"/>
                </c:ext>
              </c:extLst>
            </c:dLbl>
            <c:dLbl>
              <c:idx val="4"/>
              <c:layout>
                <c:manualLayout>
                  <c:x val="-7.0516685681069891E-2"/>
                  <c:y val="-9.7228263706436072E-2"/>
                </c:manualLayout>
              </c:layout>
              <c:tx>
                <c:rich>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Modern Era" panose="02000000000000000000" pitchFamily="50" charset="0"/>
                        <a:ea typeface="+mn-ea"/>
                        <a:cs typeface="+mn-cs"/>
                      </a:defRPr>
                    </a:pPr>
                    <a:fld id="{10F62963-ECF7-42E2-B29B-84BA0E118794}" type="VALUE">
                      <a:rPr lang="en-US"/>
                      <a:pPr>
                        <a:defRPr sz="1050">
                          <a:solidFill>
                            <a:sysClr val="windowText" lastClr="000000"/>
                          </a:solidFill>
                          <a:latin typeface="Modern Era" panose="02000000000000000000" pitchFamily="50" charset="0"/>
                        </a:defRPr>
                      </a:pPr>
                      <a:t>[VALUE]</a:t>
                    </a:fld>
                    <a:r>
                      <a:rPr lang="en-US" baseline="0"/>
                      <a:t>
(</a:t>
                    </a:r>
                    <a:fld id="{27C516A6-3A4B-4511-AB90-B4743B35BF86}" type="PERCENTAGE">
                      <a:rPr lang="en-US" baseline="0"/>
                      <a:pPr>
                        <a:defRPr sz="1050">
                          <a:solidFill>
                            <a:sysClr val="windowText" lastClr="000000"/>
                          </a:solidFill>
                          <a:latin typeface="Modern Era" panose="02000000000000000000" pitchFamily="50" charset="0"/>
                        </a:defRPr>
                      </a:pPr>
                      <a:t>[PERCENTAGE]</a:t>
                    </a:fld>
                    <a:r>
                      <a:rPr lang="en-US" baseline="0"/>
                      <a:t>)</a:t>
                    </a:r>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Modern Era" panose="02000000000000000000" pitchFamily="50" charset="0"/>
                      <a:ea typeface="+mn-ea"/>
                      <a:cs typeface="+mn-cs"/>
                    </a:defRPr>
                  </a:pPr>
                  <a:endParaRPr lang="en-US"/>
                </a:p>
              </c:txPr>
              <c:showLegendKey val="0"/>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accentCallout1">
                      <a:avLst>
                        <a:gd name="adj1" fmla="val 99117"/>
                        <a:gd name="adj2" fmla="val -12111"/>
                        <a:gd name="adj3" fmla="val 143329"/>
                        <a:gd name="adj4" fmla="val 126198"/>
                      </a:avLst>
                    </a:prstGeom>
                    <a:noFill/>
                    <a:ln>
                      <a:noFill/>
                    </a:ln>
                  </c15:spPr>
                  <c15:dlblFieldTable/>
                  <c15:showDataLabelsRange val="0"/>
                </c:ext>
                <c:ext xmlns:c16="http://schemas.microsoft.com/office/drawing/2014/chart" uri="{C3380CC4-5D6E-409C-BE32-E72D297353CC}">
                  <c16:uniqueId val="{00000009-A954-45D1-AB83-0D6E864812FD}"/>
                </c:ext>
              </c:extLst>
            </c:dLbl>
            <c:dLbl>
              <c:idx val="5"/>
              <c:layout>
                <c:manualLayout>
                  <c:x val="-7.9331271391203648E-2"/>
                  <c:y val="-7.5130931045882421E-2"/>
                </c:manualLayout>
              </c:layout>
              <c:tx>
                <c:rich>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Modern Era" panose="02000000000000000000" pitchFamily="50" charset="0"/>
                        <a:ea typeface="+mn-ea"/>
                        <a:cs typeface="+mn-cs"/>
                      </a:defRPr>
                    </a:pPr>
                    <a:fld id="{FDC7A981-8FA3-409D-8759-CD5B3147AA44}" type="VALUE">
                      <a:rPr lang="en-US"/>
                      <a:pPr>
                        <a:defRPr sz="1050">
                          <a:solidFill>
                            <a:sysClr val="windowText" lastClr="000000"/>
                          </a:solidFill>
                          <a:latin typeface="Modern Era" panose="02000000000000000000" pitchFamily="50" charset="0"/>
                        </a:defRPr>
                      </a:pPr>
                      <a:t>[VALUE]</a:t>
                    </a:fld>
                    <a:r>
                      <a:rPr lang="en-US" baseline="0"/>
                      <a:t>
(</a:t>
                    </a:r>
                    <a:fld id="{8364D746-5DB8-4242-8872-C191C69EC39A}" type="PERCENTAGE">
                      <a:rPr lang="en-US" baseline="0"/>
                      <a:pPr>
                        <a:defRPr sz="1050">
                          <a:solidFill>
                            <a:sysClr val="windowText" lastClr="000000"/>
                          </a:solidFill>
                          <a:latin typeface="Modern Era" panose="02000000000000000000" pitchFamily="50" charset="0"/>
                        </a:defRPr>
                      </a:pPr>
                      <a:t>[PERCENTAGE]</a:t>
                    </a:fld>
                    <a:r>
                      <a:rPr lang="en-US" baseline="0"/>
                      <a:t>)</a:t>
                    </a:r>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Modern Era" panose="02000000000000000000" pitchFamily="50" charset="0"/>
                      <a:ea typeface="+mn-ea"/>
                      <a:cs typeface="+mn-cs"/>
                    </a:defRPr>
                  </a:pPr>
                  <a:endParaRPr lang="en-US"/>
                </a:p>
              </c:txPr>
              <c:showLegendKey val="0"/>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accentCallout1">
                      <a:avLst>
                        <a:gd name="adj1" fmla="val 101710"/>
                        <a:gd name="adj2" fmla="val -10268"/>
                        <a:gd name="adj3" fmla="val 108763"/>
                        <a:gd name="adj4" fmla="val 142868"/>
                      </a:avLst>
                    </a:prstGeom>
                    <a:noFill/>
                    <a:ln>
                      <a:noFill/>
                    </a:ln>
                  </c15:spPr>
                  <c15:dlblFieldTable/>
                  <c15:showDataLabelsRange val="0"/>
                </c:ext>
                <c:ext xmlns:c16="http://schemas.microsoft.com/office/drawing/2014/chart" uri="{C3380CC4-5D6E-409C-BE32-E72D297353CC}">
                  <c16:uniqueId val="{0000000B-A954-45D1-AB83-0D6E864812F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ysClr val="windowText" lastClr="000000"/>
                    </a:solidFill>
                    <a:latin typeface="Modern Era" panose="02000000000000000000" pitchFamily="50" charset="0"/>
                    <a:ea typeface="+mn-ea"/>
                    <a:cs typeface="+mn-cs"/>
                  </a:defRPr>
                </a:pPr>
                <a:endParaRPr lang="en-US"/>
              </a:p>
            </c:txPr>
            <c:showLegendKey val="0"/>
            <c:showVal val="1"/>
            <c:showCatName val="0"/>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accentCallout1">
                    <a:avLst/>
                  </a:prstGeom>
                  <a:noFill/>
                  <a:ln>
                    <a:noFill/>
                  </a:ln>
                </c15:spPr>
              </c:ext>
            </c:extLst>
          </c:dLbls>
          <c:cat>
            <c:strRef>
              <c:f>'Regions direct'!$B$4:$B$9</c:f>
              <c:strCache>
                <c:ptCount val="6"/>
                <c:pt idx="0">
                  <c:v>London &amp; South East</c:v>
                </c:pt>
                <c:pt idx="1">
                  <c:v>West Midlands</c:v>
                </c:pt>
                <c:pt idx="2">
                  <c:v>North West</c:v>
                </c:pt>
                <c:pt idx="3">
                  <c:v>Wales &amp; South West</c:v>
                </c:pt>
                <c:pt idx="4">
                  <c:v>East Midlands</c:v>
                </c:pt>
                <c:pt idx="5">
                  <c:v>Yorkshire &amp; North East</c:v>
                </c:pt>
              </c:strCache>
            </c:strRef>
          </c:cat>
          <c:val>
            <c:numRef>
              <c:f>'Regions direct'!$E$4:$E$9</c:f>
              <c:numCache>
                <c:formatCode>_-* #,##0_-;\-* #,##0_-;_-* "-"??_-;_-@_-</c:formatCode>
                <c:ptCount val="6"/>
                <c:pt idx="0">
                  <c:v>49000</c:v>
                </c:pt>
                <c:pt idx="1">
                  <c:v>20800</c:v>
                </c:pt>
                <c:pt idx="2">
                  <c:v>20500</c:v>
                </c:pt>
                <c:pt idx="3">
                  <c:v>23300</c:v>
                </c:pt>
                <c:pt idx="4">
                  <c:v>18000</c:v>
                </c:pt>
                <c:pt idx="5">
                  <c:v>18700</c:v>
                </c:pt>
              </c:numCache>
            </c:numRef>
          </c:val>
          <c:extLst>
            <c:ext xmlns:c16="http://schemas.microsoft.com/office/drawing/2014/chart" uri="{C3380CC4-5D6E-409C-BE32-E72D297353CC}">
              <c16:uniqueId val="{0000000C-A954-45D1-AB83-0D6E864812FD}"/>
            </c:ext>
          </c:extLst>
        </c:ser>
        <c:dLbls>
          <c:showLegendKey val="0"/>
          <c:showVal val="1"/>
          <c:showCatName val="0"/>
          <c:showSerName val="0"/>
          <c:showPercent val="0"/>
          <c:showBubbleSize val="0"/>
          <c:showLeaderLines val="0"/>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odern Era" panose="02000000000000000000"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'Regions significance'!$C$4</c:f>
              <c:strCache>
                <c:ptCount val="1"/>
                <c:pt idx="0">
                  <c:v>Total GVA across English and Welsh economy</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odern Era" panose="02000000000000000000"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'Regions significance'!$B$5:$B$10</c:f>
              <c:strCache>
                <c:ptCount val="6"/>
                <c:pt idx="0">
                  <c:v>London &amp; South East</c:v>
                </c:pt>
                <c:pt idx="1">
                  <c:v>East Midlands</c:v>
                </c:pt>
                <c:pt idx="2">
                  <c:v>North West</c:v>
                </c:pt>
                <c:pt idx="3">
                  <c:v>Wales &amp; South West</c:v>
                </c:pt>
                <c:pt idx="4">
                  <c:v>Yorkshire &amp; North East</c:v>
                </c:pt>
                <c:pt idx="5">
                  <c:v>West Midlands</c:v>
                </c:pt>
              </c:strCache>
            </c:strRef>
          </c:cat>
          <c:val>
            <c:numRef>
              <c:f>'Regions significance'!$C$5:$C$10</c:f>
              <c:numCache>
                <c:formatCode>0%</c:formatCode>
                <c:ptCount val="6"/>
                <c:pt idx="0">
                  <c:v>0.44</c:v>
                </c:pt>
                <c:pt idx="1">
                  <c:v>0.16</c:v>
                </c:pt>
                <c:pt idx="2">
                  <c:v>0.11</c:v>
                </c:pt>
                <c:pt idx="3">
                  <c:v>0.11</c:v>
                </c:pt>
                <c:pt idx="4">
                  <c:v>0.1</c:v>
                </c:pt>
                <c:pt idx="5">
                  <c:v>0.08</c:v>
                </c:pt>
              </c:numCache>
            </c:numRef>
          </c:val>
          <c:extLst>
            <c:ext xmlns:c16="http://schemas.microsoft.com/office/drawing/2014/chart" uri="{C3380CC4-5D6E-409C-BE32-E72D297353CC}">
              <c16:uniqueId val="{00000000-9096-4CA7-A339-5C642BA73804}"/>
            </c:ext>
          </c:extLst>
        </c:ser>
        <c:ser>
          <c:idx val="1"/>
          <c:order val="1"/>
          <c:tx>
            <c:strRef>
              <c:f>'Regions significance'!$D$4</c:f>
              <c:strCache>
                <c:ptCount val="1"/>
                <c:pt idx="0">
                  <c:v>GVA generated by CRT managed waterways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odern Era" panose="02000000000000000000"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'Regions significance'!$B$5:$B$10</c:f>
              <c:strCache>
                <c:ptCount val="6"/>
                <c:pt idx="0">
                  <c:v>London &amp; South East</c:v>
                </c:pt>
                <c:pt idx="1">
                  <c:v>East Midlands</c:v>
                </c:pt>
                <c:pt idx="2">
                  <c:v>North West</c:v>
                </c:pt>
                <c:pt idx="3">
                  <c:v>Wales &amp; South West</c:v>
                </c:pt>
                <c:pt idx="4">
                  <c:v>Yorkshire &amp; North East</c:v>
                </c:pt>
                <c:pt idx="5">
                  <c:v>West Midlands</c:v>
                </c:pt>
              </c:strCache>
            </c:strRef>
          </c:cat>
          <c:val>
            <c:numRef>
              <c:f>'Regions significance'!$D$5:$D$10</c:f>
              <c:numCache>
                <c:formatCode>0%</c:formatCode>
                <c:ptCount val="6"/>
                <c:pt idx="0">
                  <c:v>0.28126217374366963</c:v>
                </c:pt>
                <c:pt idx="1">
                  <c:v>0.13361901051811453</c:v>
                </c:pt>
                <c:pt idx="2">
                  <c:v>0.15660303856641994</c:v>
                </c:pt>
                <c:pt idx="3">
                  <c:v>0.13167121153097</c:v>
                </c:pt>
                <c:pt idx="4">
                  <c:v>0.13381379041682898</c:v>
                </c:pt>
                <c:pt idx="5">
                  <c:v>0.16303077522399689</c:v>
                </c:pt>
              </c:numCache>
            </c:numRef>
          </c:val>
          <c:extLst>
            <c:ext xmlns:c16="http://schemas.microsoft.com/office/drawing/2014/chart" uri="{C3380CC4-5D6E-409C-BE32-E72D297353CC}">
              <c16:uniqueId val="{00000001-9096-4CA7-A339-5C642BA73804}"/>
            </c:ext>
          </c:extLst>
        </c:ser>
        <c:dLbls>
          <c:dLblPos val="outEnd"/>
          <c:showLegendKey val="0"/>
          <c:showVal val="1"/>
          <c:showCatName val="0"/>
          <c:showSerName val="0"/>
          <c:showPercent val="0"/>
          <c:showBubbleSize val="0"/>
        </c:dLbls>
        <c:gapWidth val="219"/>
        <c:overlap val="-27"/>
        <c:axId val="1112047480"/>
        <c:axId val="1112048200"/>
      </c:barChart>
      <c:catAx>
        <c:axId val="1112047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odern Era" panose="02000000000000000000" pitchFamily="50" charset="0"/>
                <a:ea typeface="+mn-ea"/>
                <a:cs typeface="+mn-cs"/>
              </a:defRPr>
            </a:pPr>
            <a:endParaRPr lang="en-US"/>
          </a:p>
        </c:txPr>
        <c:crossAx val="1112048200"/>
        <c:crosses val="autoZero"/>
        <c:auto val="1"/>
        <c:lblAlgn val="ctr"/>
        <c:lblOffset val="100"/>
        <c:noMultiLvlLbl val="0"/>
      </c:catAx>
      <c:valAx>
        <c:axId val="111204820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odern Era" panose="02000000000000000000" pitchFamily="50" charset="0"/>
                <a:ea typeface="+mn-ea"/>
                <a:cs typeface="+mn-cs"/>
              </a:defRPr>
            </a:pPr>
            <a:endParaRPr lang="en-US"/>
          </a:p>
        </c:txPr>
        <c:crossAx val="11120474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odern Era" panose="02000000000000000000"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Modern Era" panose="02000000000000000000" pitchFamily="50"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RT_Colours">
      <a:dk1>
        <a:srgbClr val="797A7E"/>
      </a:dk1>
      <a:lt1>
        <a:sysClr val="window" lastClr="FFFFFF"/>
      </a:lt1>
      <a:dk2>
        <a:srgbClr val="165BAA"/>
      </a:dk2>
      <a:lt2>
        <a:srgbClr val="F2F2F2"/>
      </a:lt2>
      <a:accent1>
        <a:srgbClr val="165BAA"/>
      </a:accent1>
      <a:accent2>
        <a:srgbClr val="00B9E8"/>
      </a:accent2>
      <a:accent3>
        <a:srgbClr val="0086A6"/>
      </a:accent3>
      <a:accent4>
        <a:srgbClr val="00E05B"/>
      </a:accent4>
      <a:accent5>
        <a:srgbClr val="653184"/>
      </a:accent5>
      <a:accent6>
        <a:srgbClr val="E73339"/>
      </a:accent6>
      <a:hlink>
        <a:srgbClr val="0000FF"/>
      </a:hlink>
      <a:folHlink>
        <a:srgbClr val="800080"/>
      </a:folHlink>
    </a:clrScheme>
    <a:fontScheme name="CRT">
      <a:majorFont>
        <a:latin typeface="Modern Era Bold"/>
        <a:ea typeface=""/>
        <a:cs typeface=""/>
      </a:majorFont>
      <a:minorFont>
        <a:latin typeface="Modern E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dd90c73a-ac79-44b0-bf7a-d33e80a5851e" xsi:nil="true"/>
    <_ip_UnifiedCompliancePolicyProperties xmlns="http://schemas.microsoft.com/sharepoint/v3" xsi:nil="true"/>
    <Notes xmlns="9721b1be-df93-4fc6-9010-251edf6c199b" xsi:nil="true"/>
    <lcf76f155ced4ddcb4097134ff3c332f xmlns="9721b1be-df93-4fc6-9010-251edf6c199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F82373DF223E740AED1C47131137459" ma:contentTypeVersion="21" ma:contentTypeDescription="Create a new document." ma:contentTypeScope="" ma:versionID="aa01f64a605e48abda3f31cae957fb04">
  <xsd:schema xmlns:xsd="http://www.w3.org/2001/XMLSchema" xmlns:xs="http://www.w3.org/2001/XMLSchema" xmlns:p="http://schemas.microsoft.com/office/2006/metadata/properties" xmlns:ns1="http://schemas.microsoft.com/sharepoint/v3" xmlns:ns2="9721b1be-df93-4fc6-9010-251edf6c199b" xmlns:ns3="a6a89c27-c516-4cc3-bd86-e76c97892a56" xmlns:ns4="dd90c73a-ac79-44b0-bf7a-d33e80a5851e" targetNamespace="http://schemas.microsoft.com/office/2006/metadata/properties" ma:root="true" ma:fieldsID="ce37455cf2f6f8549c027052eb1d7a33" ns1:_="" ns2:_="" ns3:_="" ns4:_="">
    <xsd:import namespace="http://schemas.microsoft.com/sharepoint/v3"/>
    <xsd:import namespace="9721b1be-df93-4fc6-9010-251edf6c199b"/>
    <xsd:import namespace="a6a89c27-c516-4cc3-bd86-e76c97892a56"/>
    <xsd:import namespace="dd90c73a-ac79-44b0-bf7a-d33e80a5851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1:_ip_UnifiedCompliancePolicyProperties" minOccurs="0"/>
                <xsd:element ref="ns1:_ip_UnifiedCompliancePolicyUIAction" minOccurs="0"/>
                <xsd:element ref="ns2:lcf76f155ced4ddcb4097134ff3c332f" minOccurs="0"/>
                <xsd:element ref="ns4:TaxCatchAll" minOccurs="0"/>
                <xsd:element ref="ns2:Note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21b1be-df93-4fc6-9010-251edf6c19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e32ddf3a-50ee-4709-a4cd-5c43b516f463" ma:termSetId="09814cd3-568e-fe90-9814-8d621ff8fb84" ma:anchorId="fba54fb3-c3e1-fe81-a776-ca4b69148c4d" ma:open="true" ma:isKeyword="false">
      <xsd:complexType>
        <xsd:sequence>
          <xsd:element ref="pc:Terms" minOccurs="0" maxOccurs="1"/>
        </xsd:sequence>
      </xsd:complexType>
    </xsd:element>
    <xsd:element name="Notes" ma:index="26" nillable="true" ma:displayName="Notes" ma:description="Structured variation of a small group discussion to reach consensus. 'F2F Delphi'" ma:format="Dropdown" ma:internalName="Notes">
      <xsd:simpleType>
        <xsd:restriction base="dms:Note">
          <xsd:maxLength value="255"/>
        </xsd:restrictio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a89c27-c516-4cc3-bd86-e76c97892a5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90c73a-ac79-44b0-bf7a-d33e80a5851e"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b215873a-134d-47d1-8721-e7bbbaa78e6d}" ma:internalName="TaxCatchAll" ma:showField="CatchAllData" ma:web="a6a89c27-c516-4cc3-bd86-e76c97892a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24D944-0ADF-470B-8099-BB5F918781FC}">
  <ds:schemaRefs>
    <ds:schemaRef ds:uri="http://schemas.microsoft.com/sharepoint/v3/contenttype/forms"/>
  </ds:schemaRefs>
</ds:datastoreItem>
</file>

<file path=customXml/itemProps2.xml><?xml version="1.0" encoding="utf-8"?>
<ds:datastoreItem xmlns:ds="http://schemas.openxmlformats.org/officeDocument/2006/customXml" ds:itemID="{2851E5E3-2759-4053-886B-DFDD8582D89D}">
  <ds:schemaRefs>
    <ds:schemaRef ds:uri="http://schemas.openxmlformats.org/officeDocument/2006/bibliography"/>
  </ds:schemaRefs>
</ds:datastoreItem>
</file>

<file path=customXml/itemProps3.xml><?xml version="1.0" encoding="utf-8"?>
<ds:datastoreItem xmlns:ds="http://schemas.openxmlformats.org/officeDocument/2006/customXml" ds:itemID="{92096561-742E-4F4D-86E3-F7EA65FC7BB6}">
  <ds:schemaRefs>
    <ds:schemaRef ds:uri="http://schemas.microsoft.com/office/2006/metadata/properties"/>
    <ds:schemaRef ds:uri="http://schemas.microsoft.com/office/infopath/2007/PartnerControls"/>
    <ds:schemaRef ds:uri="http://schemas.microsoft.com/sharepoint/v3"/>
    <ds:schemaRef ds:uri="dd90c73a-ac79-44b0-bf7a-d33e80a5851e"/>
    <ds:schemaRef ds:uri="9721b1be-df93-4fc6-9010-251edf6c199b"/>
  </ds:schemaRefs>
</ds:datastoreItem>
</file>

<file path=customXml/itemProps4.xml><?xml version="1.0" encoding="utf-8"?>
<ds:datastoreItem xmlns:ds="http://schemas.openxmlformats.org/officeDocument/2006/customXml" ds:itemID="{CFFD1C58-A36A-4F02-B8B7-FCB150E761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1b1be-df93-4fc6-9010-251edf6c199b"/>
    <ds:schemaRef ds:uri="a6a89c27-c516-4cc3-bd86-e76c97892a56"/>
    <ds:schemaRef ds:uri="dd90c73a-ac79-44b0-bf7a-d33e80a585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Report.dotx</Template>
  <TotalTime>3</TotalTime>
  <Pages>15</Pages>
  <Words>4119</Words>
  <Characters>23481</Characters>
  <Application>Microsoft Office Word</Application>
  <DocSecurity>4</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British Waterways</Company>
  <LinksUpToDate>false</LinksUpToDate>
  <CharactersWithSpaces>27545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Dorpalen</dc:creator>
  <cp:keywords/>
  <cp:lastModifiedBy>Naomi Knight</cp:lastModifiedBy>
  <cp:revision>2</cp:revision>
  <cp:lastPrinted>2026-06-03T09:41:00Z</cp:lastPrinted>
  <dcterms:created xsi:type="dcterms:W3CDTF">2026-06-23T08:59:00Z</dcterms:created>
  <dcterms:modified xsi:type="dcterms:W3CDTF">2026-06-23T08:59:00Z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oneP_DocType">
    <vt:lpwstr>Report</vt:lpwstr>
  </property>
  <property fmtid="{D5CDD505-2E9C-101B-9397-08002B2CF9AE}" pid="3" name="moneP_DocVer">
    <vt:lpwstr>3.2.1</vt:lpwstr>
  </property>
  <property fmtid="{D5CDD505-2E9C-101B-9397-08002B2CF9AE}" pid="4" name="ContentTypeId">
    <vt:lpwstr>0x0101006F82373DF223E740AED1C47131137459</vt:lpwstr>
  </property>
  <property fmtid="{D5CDD505-2E9C-101B-9397-08002B2CF9AE}" pid="5" name="MediaServiceImageTags">
    <vt:lpwstr/>
  </property>
  <property fmtid="{D5CDD505-2E9C-101B-9397-08002B2CF9AE}" pid="6" name="docLang">
    <vt:lpwstr>en</vt:lpwstr>
  </property>
</Properties>
</file>